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581" w:rsidRPr="00E84AEF" w:rsidRDefault="00D03999" w:rsidP="00D03999">
      <w:pPr>
        <w:pStyle w:val="Heading1"/>
      </w:pPr>
      <w:r w:rsidRPr="00E84AEF">
        <w:t>Introduction</w:t>
      </w:r>
    </w:p>
    <w:tbl>
      <w:tblPr>
        <w:tblStyle w:val="TableGrid"/>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8392"/>
        <w:gridCol w:w="6458"/>
      </w:tblGrid>
      <w:tr w:rsidR="00437D5F" w:rsidTr="00437D5F">
        <w:tc>
          <w:tcPr>
            <w:tcW w:w="8392" w:type="dxa"/>
          </w:tcPr>
          <w:p w:rsidR="00437D5F" w:rsidRPr="00437D5F" w:rsidRDefault="00437D5F" w:rsidP="00437D5F">
            <w:pPr>
              <w:pStyle w:val="BodyText"/>
              <w:rPr>
                <w:sz w:val="20"/>
              </w:rPr>
            </w:pPr>
            <w:r w:rsidRPr="00437D5F">
              <w:rPr>
                <w:sz w:val="20"/>
              </w:rPr>
              <w:t>Section 7.2.8 of Saddington Parish Neighbourhood Plan describes Local Views that are considered to be important to the character of Saddington.</w:t>
            </w:r>
          </w:p>
          <w:p w:rsidR="00437D5F" w:rsidRPr="00437D5F" w:rsidRDefault="00437D5F" w:rsidP="00437D5F">
            <w:pPr>
              <w:pStyle w:val="BodyText"/>
              <w:rPr>
                <w:sz w:val="20"/>
              </w:rPr>
            </w:pPr>
            <w:r w:rsidRPr="00437D5F">
              <w:rPr>
                <w:sz w:val="20"/>
              </w:rPr>
              <w:t>Consultation during the Neighbourhood Plan’s preparation identified a widely-held wish to protect</w:t>
            </w:r>
            <w:r w:rsidRPr="00437D5F">
              <w:rPr>
                <w:spacing w:val="-4"/>
                <w:sz w:val="20"/>
              </w:rPr>
              <w:t xml:space="preserve"> </w:t>
            </w:r>
            <w:r w:rsidRPr="00437D5F">
              <w:rPr>
                <w:sz w:val="20"/>
              </w:rPr>
              <w:t>Saddington’s</w:t>
            </w:r>
            <w:r w:rsidRPr="00437D5F">
              <w:rPr>
                <w:spacing w:val="-5"/>
                <w:sz w:val="20"/>
              </w:rPr>
              <w:t xml:space="preserve"> </w:t>
            </w:r>
            <w:r w:rsidRPr="00437D5F">
              <w:rPr>
                <w:sz w:val="20"/>
              </w:rPr>
              <w:t>rural</w:t>
            </w:r>
            <w:r w:rsidRPr="00437D5F">
              <w:rPr>
                <w:spacing w:val="-5"/>
                <w:sz w:val="20"/>
              </w:rPr>
              <w:t xml:space="preserve"> </w:t>
            </w:r>
            <w:r w:rsidRPr="00437D5F">
              <w:rPr>
                <w:sz w:val="20"/>
              </w:rPr>
              <w:t>setting,</w:t>
            </w:r>
            <w:r w:rsidRPr="00437D5F">
              <w:rPr>
                <w:spacing w:val="-7"/>
                <w:sz w:val="20"/>
              </w:rPr>
              <w:t xml:space="preserve"> </w:t>
            </w:r>
            <w:r w:rsidRPr="00437D5F">
              <w:rPr>
                <w:sz w:val="20"/>
              </w:rPr>
              <w:t>and</w:t>
            </w:r>
            <w:r w:rsidRPr="00437D5F">
              <w:rPr>
                <w:spacing w:val="-6"/>
                <w:sz w:val="20"/>
              </w:rPr>
              <w:t xml:space="preserve"> </w:t>
            </w:r>
            <w:r w:rsidRPr="00437D5F">
              <w:rPr>
                <w:sz w:val="20"/>
              </w:rPr>
              <w:t>its</w:t>
            </w:r>
            <w:r w:rsidRPr="00437D5F">
              <w:rPr>
                <w:spacing w:val="-8"/>
                <w:sz w:val="20"/>
              </w:rPr>
              <w:t xml:space="preserve"> </w:t>
            </w:r>
            <w:r w:rsidRPr="00437D5F">
              <w:rPr>
                <w:sz w:val="20"/>
              </w:rPr>
              <w:t>relationship</w:t>
            </w:r>
            <w:r w:rsidRPr="00437D5F">
              <w:rPr>
                <w:spacing w:val="-6"/>
                <w:sz w:val="20"/>
              </w:rPr>
              <w:t xml:space="preserve"> </w:t>
            </w:r>
            <w:r w:rsidRPr="00437D5F">
              <w:rPr>
                <w:sz w:val="20"/>
              </w:rPr>
              <w:t>with</w:t>
            </w:r>
            <w:r w:rsidRPr="00437D5F">
              <w:rPr>
                <w:spacing w:val="-6"/>
                <w:sz w:val="20"/>
              </w:rPr>
              <w:t xml:space="preserve"> </w:t>
            </w:r>
            <w:r w:rsidRPr="00437D5F">
              <w:rPr>
                <w:sz w:val="20"/>
              </w:rPr>
              <w:t>the</w:t>
            </w:r>
            <w:r w:rsidRPr="00437D5F">
              <w:rPr>
                <w:spacing w:val="-4"/>
                <w:sz w:val="20"/>
              </w:rPr>
              <w:t xml:space="preserve"> </w:t>
            </w:r>
            <w:r w:rsidRPr="00437D5F">
              <w:rPr>
                <w:sz w:val="20"/>
              </w:rPr>
              <w:t>surrounding</w:t>
            </w:r>
            <w:r w:rsidRPr="00437D5F">
              <w:rPr>
                <w:spacing w:val="-5"/>
                <w:sz w:val="20"/>
              </w:rPr>
              <w:t xml:space="preserve"> </w:t>
            </w:r>
            <w:r w:rsidRPr="00437D5F">
              <w:rPr>
                <w:sz w:val="20"/>
              </w:rPr>
              <w:t>farmland</w:t>
            </w:r>
            <w:r w:rsidRPr="00437D5F">
              <w:rPr>
                <w:spacing w:val="-4"/>
                <w:sz w:val="20"/>
              </w:rPr>
              <w:t xml:space="preserve"> </w:t>
            </w:r>
            <w:r w:rsidRPr="00437D5F">
              <w:rPr>
                <w:sz w:val="20"/>
              </w:rPr>
              <w:t>and</w:t>
            </w:r>
            <w:r w:rsidRPr="00437D5F">
              <w:rPr>
                <w:spacing w:val="-6"/>
                <w:sz w:val="20"/>
              </w:rPr>
              <w:t xml:space="preserve"> </w:t>
            </w:r>
            <w:r w:rsidRPr="00437D5F">
              <w:rPr>
                <w:sz w:val="20"/>
              </w:rPr>
              <w:t>the wider</w:t>
            </w:r>
            <w:r w:rsidRPr="00437D5F">
              <w:rPr>
                <w:spacing w:val="-7"/>
                <w:sz w:val="20"/>
              </w:rPr>
              <w:t xml:space="preserve"> </w:t>
            </w:r>
            <w:r w:rsidRPr="00437D5F">
              <w:rPr>
                <w:sz w:val="20"/>
              </w:rPr>
              <w:t>landscape,</w:t>
            </w:r>
            <w:r w:rsidRPr="00437D5F">
              <w:rPr>
                <w:spacing w:val="-7"/>
                <w:sz w:val="20"/>
              </w:rPr>
              <w:t xml:space="preserve"> </w:t>
            </w:r>
            <w:r w:rsidRPr="00437D5F">
              <w:rPr>
                <w:sz w:val="20"/>
              </w:rPr>
              <w:t>including</w:t>
            </w:r>
            <w:r w:rsidRPr="00437D5F">
              <w:rPr>
                <w:spacing w:val="-7"/>
                <w:sz w:val="20"/>
              </w:rPr>
              <w:t xml:space="preserve"> </w:t>
            </w:r>
            <w:r w:rsidRPr="00437D5F">
              <w:rPr>
                <w:sz w:val="20"/>
              </w:rPr>
              <w:t>its</w:t>
            </w:r>
            <w:r w:rsidRPr="00437D5F">
              <w:rPr>
                <w:spacing w:val="-9"/>
                <w:sz w:val="20"/>
              </w:rPr>
              <w:t xml:space="preserve"> </w:t>
            </w:r>
            <w:r w:rsidRPr="00437D5F">
              <w:rPr>
                <w:sz w:val="20"/>
              </w:rPr>
              <w:t>position</w:t>
            </w:r>
            <w:r w:rsidRPr="00437D5F">
              <w:rPr>
                <w:spacing w:val="-6"/>
                <w:sz w:val="20"/>
              </w:rPr>
              <w:t xml:space="preserve"> </w:t>
            </w:r>
            <w:r w:rsidRPr="00437D5F">
              <w:rPr>
                <w:sz w:val="20"/>
              </w:rPr>
              <w:t>in</w:t>
            </w:r>
            <w:r w:rsidRPr="00437D5F">
              <w:rPr>
                <w:spacing w:val="-6"/>
                <w:sz w:val="20"/>
              </w:rPr>
              <w:t xml:space="preserve"> </w:t>
            </w:r>
            <w:r w:rsidRPr="00437D5F">
              <w:rPr>
                <w:sz w:val="20"/>
              </w:rPr>
              <w:t>a</w:t>
            </w:r>
            <w:r w:rsidRPr="00437D5F">
              <w:rPr>
                <w:spacing w:val="-7"/>
                <w:sz w:val="20"/>
              </w:rPr>
              <w:t xml:space="preserve"> </w:t>
            </w:r>
            <w:r w:rsidRPr="00437D5F">
              <w:rPr>
                <w:sz w:val="20"/>
              </w:rPr>
              <w:t>gap</w:t>
            </w:r>
            <w:r w:rsidRPr="00437D5F">
              <w:rPr>
                <w:spacing w:val="-8"/>
                <w:sz w:val="20"/>
              </w:rPr>
              <w:t xml:space="preserve"> </w:t>
            </w:r>
            <w:r w:rsidRPr="00437D5F">
              <w:rPr>
                <w:sz w:val="20"/>
              </w:rPr>
              <w:t>between</w:t>
            </w:r>
            <w:r w:rsidRPr="00437D5F">
              <w:rPr>
                <w:spacing w:val="-9"/>
                <w:sz w:val="20"/>
              </w:rPr>
              <w:t xml:space="preserve"> </w:t>
            </w:r>
            <w:r w:rsidRPr="00437D5F">
              <w:rPr>
                <w:sz w:val="20"/>
              </w:rPr>
              <w:t>high</w:t>
            </w:r>
            <w:r w:rsidRPr="00437D5F">
              <w:rPr>
                <w:spacing w:val="-7"/>
                <w:sz w:val="20"/>
              </w:rPr>
              <w:t xml:space="preserve"> </w:t>
            </w:r>
            <w:r w:rsidRPr="00437D5F">
              <w:rPr>
                <w:sz w:val="20"/>
              </w:rPr>
              <w:t>ground</w:t>
            </w:r>
            <w:r w:rsidRPr="00437D5F">
              <w:rPr>
                <w:spacing w:val="-6"/>
                <w:sz w:val="20"/>
              </w:rPr>
              <w:t xml:space="preserve"> </w:t>
            </w:r>
            <w:r w:rsidRPr="00437D5F">
              <w:rPr>
                <w:sz w:val="20"/>
              </w:rPr>
              <w:t>to</w:t>
            </w:r>
            <w:r w:rsidRPr="00437D5F">
              <w:rPr>
                <w:spacing w:val="-7"/>
                <w:sz w:val="20"/>
              </w:rPr>
              <w:t xml:space="preserve"> </w:t>
            </w:r>
            <w:r w:rsidRPr="00437D5F">
              <w:rPr>
                <w:sz w:val="20"/>
              </w:rPr>
              <w:t>the</w:t>
            </w:r>
            <w:r w:rsidRPr="00437D5F">
              <w:rPr>
                <w:spacing w:val="-7"/>
                <w:sz w:val="20"/>
              </w:rPr>
              <w:t xml:space="preserve"> </w:t>
            </w:r>
            <w:r w:rsidRPr="00437D5F">
              <w:rPr>
                <w:sz w:val="20"/>
              </w:rPr>
              <w:t>west</w:t>
            </w:r>
            <w:r w:rsidRPr="00437D5F">
              <w:rPr>
                <w:spacing w:val="-6"/>
                <w:sz w:val="20"/>
              </w:rPr>
              <w:t xml:space="preserve"> </w:t>
            </w:r>
            <w:r w:rsidRPr="00437D5F">
              <w:rPr>
                <w:sz w:val="20"/>
              </w:rPr>
              <w:t>and</w:t>
            </w:r>
            <w:r w:rsidRPr="00437D5F">
              <w:rPr>
                <w:spacing w:val="-6"/>
                <w:sz w:val="20"/>
              </w:rPr>
              <w:t xml:space="preserve"> </w:t>
            </w:r>
            <w:r w:rsidRPr="00437D5F">
              <w:rPr>
                <w:sz w:val="20"/>
              </w:rPr>
              <w:t>east</w:t>
            </w:r>
            <w:r w:rsidRPr="00437D5F">
              <w:rPr>
                <w:spacing w:val="-9"/>
                <w:sz w:val="20"/>
              </w:rPr>
              <w:t xml:space="preserve"> </w:t>
            </w:r>
            <w:r w:rsidRPr="00437D5F">
              <w:rPr>
                <w:sz w:val="20"/>
              </w:rPr>
              <w:t>and the wide Welland valley to the</w:t>
            </w:r>
            <w:r w:rsidRPr="00437D5F">
              <w:rPr>
                <w:spacing w:val="-14"/>
                <w:sz w:val="20"/>
              </w:rPr>
              <w:t xml:space="preserve"> </w:t>
            </w:r>
            <w:r w:rsidRPr="00437D5F">
              <w:rPr>
                <w:sz w:val="20"/>
              </w:rPr>
              <w:t>south. Residents expressed this wish was by describing a number of highly-valued views within the village and toward it from the surrounding countryside. These consultation findings were supported by the environmental inventory which also confirmed the sight- lines</w:t>
            </w:r>
            <w:r w:rsidRPr="00437D5F">
              <w:rPr>
                <w:spacing w:val="-6"/>
                <w:sz w:val="20"/>
              </w:rPr>
              <w:t xml:space="preserve"> </w:t>
            </w:r>
            <w:r w:rsidRPr="00437D5F">
              <w:rPr>
                <w:sz w:val="20"/>
              </w:rPr>
              <w:t>of</w:t>
            </w:r>
            <w:r w:rsidRPr="00437D5F">
              <w:rPr>
                <w:spacing w:val="-8"/>
                <w:sz w:val="20"/>
              </w:rPr>
              <w:t xml:space="preserve"> </w:t>
            </w:r>
            <w:r w:rsidRPr="00437D5F">
              <w:rPr>
                <w:sz w:val="20"/>
              </w:rPr>
              <w:t>the</w:t>
            </w:r>
            <w:r w:rsidRPr="00437D5F">
              <w:rPr>
                <w:spacing w:val="-6"/>
                <w:sz w:val="20"/>
              </w:rPr>
              <w:t xml:space="preserve"> </w:t>
            </w:r>
            <w:r w:rsidRPr="00437D5F">
              <w:rPr>
                <w:sz w:val="20"/>
              </w:rPr>
              <w:t>suggested</w:t>
            </w:r>
            <w:r w:rsidRPr="00437D5F">
              <w:rPr>
                <w:spacing w:val="-5"/>
                <w:sz w:val="20"/>
              </w:rPr>
              <w:t xml:space="preserve"> </w:t>
            </w:r>
            <w:r w:rsidRPr="00437D5F">
              <w:rPr>
                <w:sz w:val="20"/>
              </w:rPr>
              <w:t>views</w:t>
            </w:r>
            <w:r w:rsidRPr="00437D5F">
              <w:rPr>
                <w:spacing w:val="-7"/>
                <w:sz w:val="20"/>
              </w:rPr>
              <w:t xml:space="preserve"> </w:t>
            </w:r>
            <w:r w:rsidRPr="00437D5F">
              <w:rPr>
                <w:sz w:val="20"/>
              </w:rPr>
              <w:t>and</w:t>
            </w:r>
            <w:r w:rsidRPr="00437D5F">
              <w:rPr>
                <w:spacing w:val="-8"/>
                <w:sz w:val="20"/>
              </w:rPr>
              <w:t xml:space="preserve"> </w:t>
            </w:r>
            <w:r w:rsidRPr="00437D5F">
              <w:rPr>
                <w:sz w:val="20"/>
              </w:rPr>
              <w:t>mapped</w:t>
            </w:r>
            <w:r w:rsidRPr="00437D5F">
              <w:rPr>
                <w:spacing w:val="-7"/>
                <w:sz w:val="20"/>
              </w:rPr>
              <w:t xml:space="preserve"> </w:t>
            </w:r>
            <w:r w:rsidRPr="00437D5F">
              <w:rPr>
                <w:sz w:val="20"/>
              </w:rPr>
              <w:t>them.</w:t>
            </w:r>
          </w:p>
          <w:p w:rsidR="00437D5F" w:rsidRPr="00437D5F" w:rsidRDefault="00437D5F" w:rsidP="00CA6025">
            <w:pPr>
              <w:pStyle w:val="BodyText"/>
              <w:rPr>
                <w:sz w:val="20"/>
              </w:rPr>
            </w:pPr>
            <w:r w:rsidRPr="00524980">
              <w:rPr>
                <w:sz w:val="20"/>
                <w:lang w:val="en-GB"/>
              </w:rPr>
              <w:t>Neighbo</w:t>
            </w:r>
            <w:bookmarkStart w:id="0" w:name="_GoBack"/>
            <w:bookmarkEnd w:id="0"/>
            <w:r w:rsidRPr="00524980">
              <w:rPr>
                <w:sz w:val="20"/>
                <w:lang w:val="en-GB"/>
              </w:rPr>
              <w:t>urhood</w:t>
            </w:r>
            <w:r w:rsidRPr="00437D5F">
              <w:rPr>
                <w:sz w:val="20"/>
              </w:rPr>
              <w:t xml:space="preserve"> Plan Policy ENV 8 is intended to provide protection to the six important views that shown on the figure and listed below by careful siting of all development in the parish during the lifetime of the</w:t>
            </w:r>
            <w:r w:rsidRPr="00437D5F">
              <w:rPr>
                <w:spacing w:val="-4"/>
                <w:sz w:val="20"/>
              </w:rPr>
              <w:t xml:space="preserve"> </w:t>
            </w:r>
            <w:r w:rsidRPr="00437D5F">
              <w:rPr>
                <w:sz w:val="20"/>
              </w:rPr>
              <w:t>Plan.</w:t>
            </w:r>
          </w:p>
          <w:p w:rsidR="00437D5F" w:rsidRPr="00437D5F" w:rsidRDefault="00437D5F" w:rsidP="00437D5F">
            <w:pPr>
              <w:pStyle w:val="BodyText"/>
              <w:ind w:left="340" w:hanging="340"/>
              <w:rPr>
                <w:sz w:val="20"/>
              </w:rPr>
            </w:pPr>
            <w:bookmarkStart w:id="1" w:name="_Hlk504839815"/>
            <w:r w:rsidRPr="00437D5F">
              <w:rPr>
                <w:sz w:val="20"/>
              </w:rPr>
              <w:t>1.</w:t>
            </w:r>
            <w:r w:rsidRPr="00437D5F">
              <w:rPr>
                <w:sz w:val="20"/>
              </w:rPr>
              <w:tab/>
              <w:t>Views south to northwest from field 093 and Mowsley Road/Saddington Hall at the western edge of the village over extensive open</w:t>
            </w:r>
            <w:r w:rsidRPr="00437D5F">
              <w:rPr>
                <w:spacing w:val="-42"/>
                <w:sz w:val="20"/>
              </w:rPr>
              <w:t xml:space="preserve"> </w:t>
            </w:r>
            <w:r w:rsidRPr="00437D5F">
              <w:rPr>
                <w:sz w:val="20"/>
              </w:rPr>
              <w:t>countryside.</w:t>
            </w:r>
          </w:p>
          <w:p w:rsidR="00437D5F" w:rsidRPr="00437D5F" w:rsidRDefault="00437D5F" w:rsidP="00437D5F">
            <w:pPr>
              <w:pStyle w:val="BodyText"/>
              <w:ind w:left="340" w:hanging="340"/>
              <w:rPr>
                <w:sz w:val="20"/>
              </w:rPr>
            </w:pPr>
            <w:r w:rsidRPr="00437D5F">
              <w:rPr>
                <w:sz w:val="20"/>
              </w:rPr>
              <w:t>2.</w:t>
            </w:r>
            <w:r w:rsidRPr="00437D5F">
              <w:rPr>
                <w:sz w:val="20"/>
              </w:rPr>
              <w:tab/>
              <w:t>Views northeast to east from field 026 into the village and over open countryside toward Fleckney, mainly grassland with hedges and trees.</w:t>
            </w:r>
          </w:p>
          <w:p w:rsidR="00437D5F" w:rsidRPr="00437D5F" w:rsidRDefault="00437D5F" w:rsidP="00437D5F">
            <w:pPr>
              <w:pStyle w:val="BodyText"/>
              <w:ind w:left="340" w:hanging="340"/>
              <w:rPr>
                <w:sz w:val="20"/>
              </w:rPr>
            </w:pPr>
            <w:r w:rsidRPr="00437D5F">
              <w:rPr>
                <w:sz w:val="20"/>
              </w:rPr>
              <w:t>3.</w:t>
            </w:r>
            <w:r w:rsidRPr="00437D5F">
              <w:rPr>
                <w:sz w:val="20"/>
              </w:rPr>
              <w:tab/>
              <w:t>Views east and southeast from various publicly accessible locations (including public house garden) over the valley of Langton Brook and an ornamental lake with wooded banks (parcel 136) and Saddington Reservoir (172) to the high ground marking the southern parish boundary.</w:t>
            </w:r>
          </w:p>
          <w:p w:rsidR="00437D5F" w:rsidRPr="00437D5F" w:rsidRDefault="00437D5F" w:rsidP="00437D5F">
            <w:pPr>
              <w:pStyle w:val="BodyText"/>
              <w:ind w:left="340" w:hanging="340"/>
              <w:rPr>
                <w:sz w:val="20"/>
              </w:rPr>
            </w:pPr>
            <w:r w:rsidRPr="00437D5F">
              <w:rPr>
                <w:sz w:val="20"/>
              </w:rPr>
              <w:t>4.</w:t>
            </w:r>
            <w:r w:rsidRPr="00437D5F">
              <w:rPr>
                <w:sz w:val="20"/>
              </w:rPr>
              <w:tab/>
              <w:t>Panoramic views northwest to east from field 037 into east Leicestershire, Northamptonshire, etc., over the canal and open</w:t>
            </w:r>
            <w:r w:rsidRPr="00437D5F">
              <w:rPr>
                <w:spacing w:val="-41"/>
                <w:sz w:val="20"/>
              </w:rPr>
              <w:t xml:space="preserve"> </w:t>
            </w:r>
            <w:r w:rsidRPr="00437D5F">
              <w:rPr>
                <w:sz w:val="20"/>
              </w:rPr>
              <w:t>countryside.</w:t>
            </w:r>
          </w:p>
          <w:p w:rsidR="00437D5F" w:rsidRPr="00437D5F" w:rsidRDefault="00437D5F" w:rsidP="00437D5F">
            <w:pPr>
              <w:pStyle w:val="BodyText"/>
              <w:ind w:left="340" w:hanging="340"/>
              <w:rPr>
                <w:sz w:val="20"/>
              </w:rPr>
            </w:pPr>
            <w:r w:rsidRPr="00437D5F">
              <w:rPr>
                <w:sz w:val="20"/>
              </w:rPr>
              <w:t>5.</w:t>
            </w:r>
            <w:r w:rsidRPr="00437D5F">
              <w:rPr>
                <w:sz w:val="20"/>
              </w:rPr>
              <w:tab/>
              <w:t>Views north and east from field 165 and Mowsley Road over the Langton Brook valley toward Saddington village (northwards) and the reservoir and open countryside</w:t>
            </w:r>
            <w:r w:rsidRPr="00437D5F">
              <w:rPr>
                <w:spacing w:val="-13"/>
                <w:sz w:val="20"/>
              </w:rPr>
              <w:t xml:space="preserve"> </w:t>
            </w:r>
            <w:r w:rsidRPr="00437D5F">
              <w:rPr>
                <w:sz w:val="20"/>
              </w:rPr>
              <w:t>(east).</w:t>
            </w:r>
          </w:p>
          <w:p w:rsidR="00437D5F" w:rsidRPr="00437D5F" w:rsidRDefault="00437D5F" w:rsidP="00437D5F">
            <w:pPr>
              <w:pStyle w:val="BodyText"/>
              <w:ind w:left="340" w:hanging="340"/>
              <w:rPr>
                <w:sz w:val="20"/>
              </w:rPr>
            </w:pPr>
            <w:r w:rsidRPr="00437D5F">
              <w:rPr>
                <w:sz w:val="20"/>
              </w:rPr>
              <w:t>6.</w:t>
            </w:r>
            <w:r w:rsidRPr="00437D5F">
              <w:rPr>
                <w:sz w:val="20"/>
              </w:rPr>
              <w:tab/>
              <w:t>View southeast from footpath A.14 across valley meadows to the hillside incorporating fields 151 and</w:t>
            </w:r>
            <w:r w:rsidRPr="00437D5F">
              <w:rPr>
                <w:spacing w:val="-15"/>
                <w:sz w:val="20"/>
              </w:rPr>
              <w:t xml:space="preserve"> </w:t>
            </w:r>
            <w:r w:rsidRPr="00437D5F">
              <w:rPr>
                <w:sz w:val="20"/>
              </w:rPr>
              <w:t>152.</w:t>
            </w:r>
          </w:p>
          <w:bookmarkEnd w:id="1"/>
          <w:p w:rsidR="00437D5F" w:rsidRPr="00437D5F" w:rsidRDefault="00437D5F" w:rsidP="00CA6025">
            <w:pPr>
              <w:pStyle w:val="BodyText"/>
              <w:rPr>
                <w:sz w:val="20"/>
              </w:rPr>
            </w:pPr>
            <w:r w:rsidRPr="00437D5F">
              <w:rPr>
                <w:sz w:val="20"/>
              </w:rPr>
              <w:t>Photographs of each view are provided to depict the natural beauty and characteristics that are valued by residents of Saddington and visitors to Saddington.</w:t>
            </w:r>
          </w:p>
        </w:tc>
        <w:tc>
          <w:tcPr>
            <w:tcW w:w="6458" w:type="dxa"/>
          </w:tcPr>
          <w:p w:rsidR="00437D5F" w:rsidRDefault="00437D5F" w:rsidP="00437D5F">
            <w:pPr>
              <w:pStyle w:val="BodyText"/>
              <w:jc w:val="center"/>
            </w:pPr>
            <w:r>
              <w:rPr>
                <w:noProof/>
              </w:rPr>
              <w:drawing>
                <wp:inline distT="0" distB="0" distL="0" distR="0" wp14:anchorId="79909456" wp14:editId="3A97AB91">
                  <wp:extent cx="3979505" cy="4450080"/>
                  <wp:effectExtent l="38100" t="38100" r="40640" b="4572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385" cy="4452182"/>
                          </a:xfrm>
                          <a:prstGeom prst="rect">
                            <a:avLst/>
                          </a:prstGeom>
                          <a:noFill/>
                          <a:ln w="28575">
                            <a:solidFill>
                              <a:srgbClr val="0070C0"/>
                            </a:solidFill>
                          </a:ln>
                        </pic:spPr>
                      </pic:pic>
                    </a:graphicData>
                  </a:graphic>
                </wp:inline>
              </w:drawing>
            </w:r>
          </w:p>
          <w:p w:rsidR="00437D5F" w:rsidRPr="00437D5F" w:rsidRDefault="00437D5F" w:rsidP="00437D5F">
            <w:pPr>
              <w:spacing w:before="120" w:after="120"/>
              <w:jc w:val="center"/>
              <w:rPr>
                <w:b/>
                <w:sz w:val="20"/>
              </w:rPr>
            </w:pPr>
            <w:r>
              <w:rPr>
                <w:b/>
                <w:sz w:val="20"/>
              </w:rPr>
              <w:t>Views that are Considered to be Important to Saddington</w:t>
            </w:r>
          </w:p>
        </w:tc>
      </w:tr>
    </w:tbl>
    <w:p w:rsidR="009B1B0F" w:rsidRDefault="009B1B0F">
      <w:r>
        <w:br w:type="page"/>
      </w:r>
    </w:p>
    <w:p w:rsidR="009B1B0F" w:rsidRDefault="009B1B0F" w:rsidP="009B1B0F">
      <w:pPr>
        <w:pStyle w:val="BodyText"/>
        <w:ind w:left="567" w:hanging="567"/>
        <w:rPr>
          <w:b/>
        </w:rPr>
      </w:pPr>
      <w:r w:rsidRPr="009B1B0F">
        <w:rPr>
          <w:b/>
        </w:rPr>
        <w:lastRenderedPageBreak/>
        <w:t>1.</w:t>
      </w:r>
      <w:r w:rsidRPr="009B1B0F">
        <w:rPr>
          <w:b/>
        </w:rPr>
        <w:tab/>
        <w:t>Views south to northwest from field 09</w:t>
      </w:r>
      <w:r w:rsidR="001B1F7E">
        <w:rPr>
          <w:b/>
        </w:rPr>
        <w:t>3</w:t>
      </w:r>
      <w:r w:rsidRPr="009B1B0F">
        <w:rPr>
          <w:b/>
        </w:rPr>
        <w:t xml:space="preserve"> and Mowsley Road/Saddington Hall at the western edge of the village over extensive open</w:t>
      </w:r>
      <w:r w:rsidRPr="009B1B0F">
        <w:rPr>
          <w:b/>
          <w:spacing w:val="-42"/>
        </w:rPr>
        <w:t xml:space="preserve"> </w:t>
      </w:r>
      <w:r w:rsidRPr="009B1B0F">
        <w:rPr>
          <w:b/>
        </w:rPr>
        <w:t>countryside</w:t>
      </w:r>
    </w:p>
    <w:p w:rsidR="009B1B0F" w:rsidRPr="009B1B0F" w:rsidRDefault="00437D5F" w:rsidP="00437D5F">
      <w:pPr>
        <w:pStyle w:val="BodyText"/>
        <w:jc w:val="center"/>
      </w:pPr>
      <w:r>
        <w:rPr>
          <w:noProof/>
        </w:rPr>
        <w:drawing>
          <wp:inline distT="0" distB="0" distL="0" distR="0" wp14:anchorId="30559181" wp14:editId="5DBBC645">
            <wp:extent cx="6839118" cy="513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41633" cy="5132687"/>
                    </a:xfrm>
                    <a:prstGeom prst="rect">
                      <a:avLst/>
                    </a:prstGeom>
                  </pic:spPr>
                </pic:pic>
              </a:graphicData>
            </a:graphic>
          </wp:inline>
        </w:drawing>
      </w:r>
    </w:p>
    <w:p w:rsidR="009B1B0F" w:rsidRDefault="009B1B0F" w:rsidP="009B1B0F">
      <w:pPr>
        <w:pStyle w:val="BodyText"/>
        <w:ind w:left="567" w:hanging="567"/>
        <w:rPr>
          <w:b/>
        </w:rPr>
      </w:pPr>
      <w:r w:rsidRPr="009B1B0F">
        <w:rPr>
          <w:b/>
        </w:rPr>
        <w:lastRenderedPageBreak/>
        <w:t>2.</w:t>
      </w:r>
      <w:r w:rsidRPr="009B1B0F">
        <w:rPr>
          <w:b/>
        </w:rPr>
        <w:tab/>
        <w:t>Views northeast to east from field 026 into the village and over open countryside toward Fleckney, mainly grassland with hedges</w:t>
      </w:r>
      <w:r>
        <w:rPr>
          <w:b/>
        </w:rPr>
        <w:t xml:space="preserve"> and trees</w:t>
      </w:r>
    </w:p>
    <w:p w:rsidR="009B1B0F" w:rsidRPr="009B1B0F" w:rsidRDefault="00437D5F" w:rsidP="005A330B">
      <w:pPr>
        <w:pStyle w:val="BodyText"/>
        <w:jc w:val="center"/>
      </w:pPr>
      <w:r>
        <w:rPr>
          <w:noProof/>
        </w:rPr>
        <w:drawing>
          <wp:inline distT="0" distB="0" distL="0" distR="0" wp14:anchorId="07B23F0E" wp14:editId="5C29A479">
            <wp:extent cx="8019930" cy="5139266"/>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022879" cy="5141156"/>
                    </a:xfrm>
                    <a:prstGeom prst="rect">
                      <a:avLst/>
                    </a:prstGeom>
                  </pic:spPr>
                </pic:pic>
              </a:graphicData>
            </a:graphic>
          </wp:inline>
        </w:drawing>
      </w:r>
    </w:p>
    <w:p w:rsidR="009B1B0F" w:rsidRDefault="009B1B0F" w:rsidP="009B1B0F">
      <w:pPr>
        <w:pStyle w:val="BodyText"/>
        <w:ind w:left="567" w:hanging="567"/>
        <w:rPr>
          <w:b/>
        </w:rPr>
      </w:pPr>
      <w:r w:rsidRPr="009B1B0F">
        <w:rPr>
          <w:b/>
        </w:rPr>
        <w:lastRenderedPageBreak/>
        <w:t>3.</w:t>
      </w:r>
      <w:r w:rsidRPr="009B1B0F">
        <w:rPr>
          <w:b/>
        </w:rPr>
        <w:tab/>
        <w:t>Views east and southeast from various publicly accessible locations (including public house garden) over the valley of Langton Brook and an ornamental lake with wooded banks (parcel 136) and Saddington Reservoir (172) to the high ground marking the southern parish boundary</w:t>
      </w:r>
    </w:p>
    <w:p w:rsidR="009B1B0F" w:rsidRPr="009B1B0F" w:rsidRDefault="00437D5F" w:rsidP="005A330B">
      <w:pPr>
        <w:pStyle w:val="BodyText"/>
        <w:jc w:val="center"/>
      </w:pPr>
      <w:r>
        <w:rPr>
          <w:noProof/>
        </w:rPr>
        <w:drawing>
          <wp:inline distT="0" distB="0" distL="0" distR="0" wp14:anchorId="44978C20" wp14:editId="04E77D1F">
            <wp:extent cx="7128933" cy="4980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32388" cy="4982766"/>
                    </a:xfrm>
                    <a:prstGeom prst="rect">
                      <a:avLst/>
                    </a:prstGeom>
                  </pic:spPr>
                </pic:pic>
              </a:graphicData>
            </a:graphic>
          </wp:inline>
        </w:drawing>
      </w:r>
    </w:p>
    <w:p w:rsidR="009B1B0F" w:rsidRDefault="009B1B0F" w:rsidP="009B1B0F">
      <w:pPr>
        <w:pStyle w:val="BodyText"/>
        <w:ind w:left="567" w:hanging="567"/>
        <w:rPr>
          <w:b/>
        </w:rPr>
      </w:pPr>
      <w:r w:rsidRPr="009B1B0F">
        <w:rPr>
          <w:b/>
        </w:rPr>
        <w:lastRenderedPageBreak/>
        <w:t>4.</w:t>
      </w:r>
      <w:r w:rsidRPr="009B1B0F">
        <w:rPr>
          <w:b/>
        </w:rPr>
        <w:tab/>
        <w:t>Panoramic views northwest to east from field 037 into east Leicestershire, Northamptonshire, etc., over the canal and open</w:t>
      </w:r>
      <w:r w:rsidRPr="009B1B0F">
        <w:rPr>
          <w:b/>
          <w:spacing w:val="-41"/>
        </w:rPr>
        <w:t xml:space="preserve"> </w:t>
      </w:r>
      <w:r w:rsidRPr="009B1B0F">
        <w:rPr>
          <w:b/>
        </w:rPr>
        <w:t>countryside</w:t>
      </w:r>
    </w:p>
    <w:p w:rsidR="009B1B0F" w:rsidRPr="009B1B0F" w:rsidRDefault="00437D5F" w:rsidP="005A330B">
      <w:pPr>
        <w:pStyle w:val="BodyText"/>
        <w:jc w:val="center"/>
      </w:pPr>
      <w:r>
        <w:rPr>
          <w:noProof/>
        </w:rPr>
        <w:drawing>
          <wp:inline distT="0" distB="0" distL="0" distR="0" wp14:anchorId="3FB7CB67" wp14:editId="090310A7">
            <wp:extent cx="6341533" cy="514639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43865" cy="5148290"/>
                    </a:xfrm>
                    <a:prstGeom prst="rect">
                      <a:avLst/>
                    </a:prstGeom>
                  </pic:spPr>
                </pic:pic>
              </a:graphicData>
            </a:graphic>
          </wp:inline>
        </w:drawing>
      </w:r>
    </w:p>
    <w:p w:rsidR="009B1B0F" w:rsidRDefault="009B1B0F" w:rsidP="009B1B0F">
      <w:pPr>
        <w:pStyle w:val="BodyText"/>
        <w:ind w:left="567" w:hanging="567"/>
        <w:rPr>
          <w:b/>
        </w:rPr>
      </w:pPr>
      <w:r w:rsidRPr="009B1B0F">
        <w:rPr>
          <w:b/>
        </w:rPr>
        <w:lastRenderedPageBreak/>
        <w:t>5.</w:t>
      </w:r>
      <w:r w:rsidRPr="009B1B0F">
        <w:rPr>
          <w:b/>
        </w:rPr>
        <w:tab/>
        <w:t>Views north and east from field 165 and Mowsley Road over the Langton Brook valley toward Saddington village (northwards) and the reservoir and open countryside</w:t>
      </w:r>
      <w:r w:rsidRPr="009B1B0F">
        <w:rPr>
          <w:b/>
          <w:spacing w:val="-13"/>
        </w:rPr>
        <w:t xml:space="preserve"> </w:t>
      </w:r>
      <w:r w:rsidRPr="009B1B0F">
        <w:rPr>
          <w:b/>
        </w:rPr>
        <w:t>(east)</w:t>
      </w:r>
    </w:p>
    <w:p w:rsidR="009B1B0F" w:rsidRPr="009B1B0F" w:rsidRDefault="00437D5F" w:rsidP="005A330B">
      <w:pPr>
        <w:pStyle w:val="BodyText"/>
        <w:jc w:val="center"/>
      </w:pPr>
      <w:r>
        <w:rPr>
          <w:noProof/>
        </w:rPr>
        <w:drawing>
          <wp:inline distT="0" distB="0" distL="0" distR="0" wp14:anchorId="55A28F2A" wp14:editId="585B1672">
            <wp:extent cx="7035800" cy="516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38387" cy="5167499"/>
                    </a:xfrm>
                    <a:prstGeom prst="rect">
                      <a:avLst/>
                    </a:prstGeom>
                  </pic:spPr>
                </pic:pic>
              </a:graphicData>
            </a:graphic>
          </wp:inline>
        </w:drawing>
      </w:r>
    </w:p>
    <w:p w:rsidR="009B1B0F" w:rsidRDefault="009B1B0F" w:rsidP="009B1B0F">
      <w:pPr>
        <w:pStyle w:val="BodyText"/>
        <w:ind w:left="567" w:hanging="567"/>
        <w:rPr>
          <w:b/>
        </w:rPr>
      </w:pPr>
      <w:r>
        <w:rPr>
          <w:b/>
        </w:rPr>
        <w:lastRenderedPageBreak/>
        <w:t>6</w:t>
      </w:r>
      <w:r w:rsidRPr="009B1B0F">
        <w:rPr>
          <w:b/>
        </w:rPr>
        <w:t>.</w:t>
      </w:r>
      <w:r w:rsidRPr="009B1B0F">
        <w:rPr>
          <w:b/>
        </w:rPr>
        <w:tab/>
        <w:t xml:space="preserve">View southeast from footpath </w:t>
      </w:r>
      <w:r w:rsidR="001B1F7E">
        <w:rPr>
          <w:b/>
        </w:rPr>
        <w:t>A.14</w:t>
      </w:r>
      <w:r w:rsidRPr="009B1B0F">
        <w:rPr>
          <w:b/>
        </w:rPr>
        <w:t xml:space="preserve"> across valley meadows to the hillside incorporating fields 151 and</w:t>
      </w:r>
      <w:r w:rsidRPr="009B1B0F">
        <w:rPr>
          <w:b/>
          <w:spacing w:val="-15"/>
        </w:rPr>
        <w:t xml:space="preserve"> </w:t>
      </w:r>
      <w:r>
        <w:rPr>
          <w:b/>
        </w:rPr>
        <w:t>152</w:t>
      </w:r>
    </w:p>
    <w:p w:rsidR="009B1B0F" w:rsidRDefault="00437D5F" w:rsidP="005A330B">
      <w:pPr>
        <w:pStyle w:val="BodyText"/>
        <w:jc w:val="center"/>
      </w:pPr>
      <w:r>
        <w:rPr>
          <w:noProof/>
        </w:rPr>
        <w:drawing>
          <wp:inline distT="0" distB="0" distL="0" distR="0" wp14:anchorId="39790B9A" wp14:editId="73BED3E8">
            <wp:extent cx="8085666" cy="532911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091801" cy="5333153"/>
                    </a:xfrm>
                    <a:prstGeom prst="rect">
                      <a:avLst/>
                    </a:prstGeom>
                  </pic:spPr>
                </pic:pic>
              </a:graphicData>
            </a:graphic>
          </wp:inline>
        </w:drawing>
      </w:r>
    </w:p>
    <w:sectPr w:rsidR="009B1B0F" w:rsidSect="00437D5F">
      <w:headerReference w:type="default" r:id="rId15"/>
      <w:footerReference w:type="default" r:id="rId16"/>
      <w:pgSz w:w="16838" w:h="11906" w:orient="landscape" w:code="9"/>
      <w:pgMar w:top="1418" w:right="1418" w:bottom="1418" w:left="1418"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120" w:rsidRDefault="00EB4120" w:rsidP="0067144E">
      <w:r>
        <w:separator/>
      </w:r>
    </w:p>
  </w:endnote>
  <w:endnote w:type="continuationSeparator" w:id="0">
    <w:p w:rsidR="00EB4120" w:rsidRDefault="00EB4120" w:rsidP="0067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4E" w:rsidRDefault="0067144E" w:rsidP="00437D5F">
    <w:pPr>
      <w:pStyle w:val="Footer"/>
      <w:tabs>
        <w:tab w:val="clear" w:pos="4513"/>
        <w:tab w:val="clear" w:pos="9026"/>
        <w:tab w:val="right" w:pos="14034"/>
      </w:tabs>
    </w:pPr>
    <w:r>
      <w:rPr>
        <w:sz w:val="16"/>
        <w:szCs w:val="16"/>
      </w:rPr>
      <w:fldChar w:fldCharType="begin"/>
    </w:r>
    <w:r>
      <w:rPr>
        <w:sz w:val="16"/>
        <w:szCs w:val="16"/>
      </w:rPr>
      <w:instrText xml:space="preserve"> FILENAME   \* MERGEFORMAT </w:instrText>
    </w:r>
    <w:r>
      <w:rPr>
        <w:sz w:val="16"/>
        <w:szCs w:val="16"/>
      </w:rPr>
      <w:fldChar w:fldCharType="separate"/>
    </w:r>
    <w:r w:rsidR="00CA6025">
      <w:rPr>
        <w:noProof/>
        <w:sz w:val="16"/>
        <w:szCs w:val="16"/>
      </w:rPr>
      <w:t>Appendix 8 Important Views.docx</w:t>
    </w:r>
    <w:r>
      <w:rPr>
        <w:sz w:val="16"/>
        <w:szCs w:val="16"/>
      </w:rPr>
      <w:fldChar w:fldCharType="end"/>
    </w:r>
    <w:r>
      <w:rPr>
        <w:sz w:val="16"/>
        <w:szCs w:val="16"/>
      </w:rPr>
      <w:tab/>
    </w:r>
    <w:r w:rsidRPr="00F83B76">
      <w:rPr>
        <w:szCs w:val="16"/>
      </w:rPr>
      <w:t xml:space="preserve">Page </w:t>
    </w:r>
    <w:r w:rsidRPr="00F83B76">
      <w:rPr>
        <w:szCs w:val="16"/>
      </w:rPr>
      <w:fldChar w:fldCharType="begin"/>
    </w:r>
    <w:r w:rsidRPr="00F83B76">
      <w:rPr>
        <w:szCs w:val="16"/>
      </w:rPr>
      <w:instrText xml:space="preserve"> PAGE   \* MERGEFORMAT </w:instrText>
    </w:r>
    <w:r w:rsidRPr="00F83B76">
      <w:rPr>
        <w:szCs w:val="16"/>
      </w:rPr>
      <w:fldChar w:fldCharType="separate"/>
    </w:r>
    <w:r w:rsidR="00524980">
      <w:rPr>
        <w:noProof/>
        <w:szCs w:val="16"/>
      </w:rPr>
      <w:t>1</w:t>
    </w:r>
    <w:r w:rsidRPr="00F83B76">
      <w:rPr>
        <w:szCs w:val="16"/>
      </w:rPr>
      <w:fldChar w:fldCharType="end"/>
    </w:r>
    <w:r w:rsidRPr="00F83B76">
      <w:rPr>
        <w:szCs w:val="16"/>
      </w:rPr>
      <w:t xml:space="preserve"> of </w:t>
    </w:r>
    <w:r w:rsidRPr="00F83B76">
      <w:rPr>
        <w:szCs w:val="16"/>
      </w:rPr>
      <w:fldChar w:fldCharType="begin"/>
    </w:r>
    <w:r w:rsidRPr="00F83B76">
      <w:rPr>
        <w:szCs w:val="16"/>
      </w:rPr>
      <w:instrText xml:space="preserve"> NUMPAGES   \* MERGEFORMAT </w:instrText>
    </w:r>
    <w:r w:rsidRPr="00F83B76">
      <w:rPr>
        <w:szCs w:val="16"/>
      </w:rPr>
      <w:fldChar w:fldCharType="separate"/>
    </w:r>
    <w:r w:rsidR="00524980">
      <w:rPr>
        <w:noProof/>
        <w:szCs w:val="16"/>
      </w:rPr>
      <w:t>7</w:t>
    </w:r>
    <w:r w:rsidRPr="00F83B76">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120" w:rsidRDefault="00EB4120" w:rsidP="0067144E">
      <w:r>
        <w:separator/>
      </w:r>
    </w:p>
  </w:footnote>
  <w:footnote w:type="continuationSeparator" w:id="0">
    <w:p w:rsidR="00EB4120" w:rsidRDefault="00EB4120" w:rsidP="00671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10773"/>
    </w:tblGrid>
    <w:tr w:rsidR="00B511C8" w:rsidRPr="00B511C8" w:rsidTr="00437D5F">
      <w:tc>
        <w:tcPr>
          <w:tcW w:w="1986" w:type="dxa"/>
        </w:tcPr>
        <w:p w:rsidR="00B511C8" w:rsidRPr="00B511C8" w:rsidRDefault="00B511C8" w:rsidP="00B511C8">
          <w:pPr>
            <w:rPr>
              <w:lang w:val="en-GB"/>
            </w:rPr>
          </w:pPr>
          <w:r w:rsidRPr="00B511C8">
            <w:rPr>
              <w:rFonts w:cs="Arial"/>
              <w:b/>
              <w:noProof/>
            </w:rPr>
            <w:drawing>
              <wp:inline distT="0" distB="0" distL="0" distR="0" wp14:anchorId="05279B7F" wp14:editId="5B85019F">
                <wp:extent cx="883920" cy="538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logo C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4561" cy="538733"/>
                        </a:xfrm>
                        <a:prstGeom prst="rect">
                          <a:avLst/>
                        </a:prstGeom>
                      </pic:spPr>
                    </pic:pic>
                  </a:graphicData>
                </a:graphic>
              </wp:inline>
            </w:drawing>
          </w:r>
        </w:p>
      </w:tc>
      <w:tc>
        <w:tcPr>
          <w:tcW w:w="10773" w:type="dxa"/>
          <w:vAlign w:val="center"/>
        </w:tcPr>
        <w:p w:rsidR="00B511C8" w:rsidRPr="00B511C8" w:rsidRDefault="00B511C8" w:rsidP="00B511C8">
          <w:pPr>
            <w:spacing w:after="120"/>
            <w:jc w:val="center"/>
            <w:rPr>
              <w:rFonts w:cs="Arial"/>
              <w:b/>
              <w:lang w:val="en-GB"/>
            </w:rPr>
          </w:pPr>
          <w:r w:rsidRPr="00B511C8">
            <w:rPr>
              <w:rFonts w:cs="Arial"/>
              <w:b/>
              <w:lang w:val="en-GB"/>
            </w:rPr>
            <w:t>Saddington Parish</w:t>
          </w:r>
          <w:r w:rsidR="00CA6025">
            <w:rPr>
              <w:rFonts w:cs="Arial"/>
              <w:b/>
              <w:lang w:val="en-GB"/>
            </w:rPr>
            <w:t xml:space="preserve"> Neighbourhood Plan – Appendix 8</w:t>
          </w:r>
        </w:p>
        <w:p w:rsidR="00B511C8" w:rsidRPr="00B511C8" w:rsidRDefault="00CA6025" w:rsidP="00CA6025">
          <w:pPr>
            <w:jc w:val="center"/>
            <w:rPr>
              <w:rFonts w:cs="Arial"/>
              <w:b/>
              <w:lang w:val="en-GB"/>
            </w:rPr>
          </w:pPr>
          <w:r>
            <w:rPr>
              <w:rFonts w:cs="Arial"/>
              <w:b/>
              <w:lang w:val="en-GB"/>
            </w:rPr>
            <w:t>Important Views</w:t>
          </w:r>
          <w:r w:rsidR="008F3416">
            <w:rPr>
              <w:rFonts w:cs="Arial"/>
              <w:b/>
              <w:lang w:val="en-GB"/>
            </w:rPr>
            <w:t xml:space="preserve"> Evidence Ba</w:t>
          </w:r>
          <w:r w:rsidR="007D4581">
            <w:rPr>
              <w:rFonts w:cs="Arial"/>
              <w:b/>
              <w:lang w:val="en-GB"/>
            </w:rPr>
            <w:t>s</w:t>
          </w:r>
          <w:r w:rsidR="008F3416">
            <w:rPr>
              <w:rFonts w:cs="Arial"/>
              <w:b/>
              <w:lang w:val="en-GB"/>
            </w:rPr>
            <w:t>e</w:t>
          </w:r>
        </w:p>
      </w:tc>
    </w:tr>
  </w:tbl>
  <w:p w:rsidR="00B511C8" w:rsidRPr="00B511C8" w:rsidRDefault="00B511C8" w:rsidP="00B511C8">
    <w:pPr>
      <w:jc w:val="center"/>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E47306"/>
    <w:multiLevelType w:val="multilevel"/>
    <w:tmpl w:val="341C8F16"/>
    <w:lvl w:ilvl="0">
      <w:start w:val="7"/>
      <w:numFmt w:val="decimal"/>
      <w:lvlText w:val="%1"/>
      <w:lvlJc w:val="left"/>
      <w:pPr>
        <w:ind w:left="801" w:hanging="663"/>
      </w:pPr>
      <w:rPr>
        <w:rFonts w:hint="default"/>
      </w:rPr>
    </w:lvl>
    <w:lvl w:ilvl="1">
      <w:start w:val="2"/>
      <w:numFmt w:val="decimal"/>
      <w:lvlText w:val="%1.%2"/>
      <w:lvlJc w:val="left"/>
      <w:pPr>
        <w:ind w:left="801" w:hanging="663"/>
      </w:pPr>
      <w:rPr>
        <w:rFonts w:ascii="Calibri" w:eastAsia="Calibri" w:hAnsi="Calibri" w:cs="Calibri" w:hint="default"/>
        <w:b/>
        <w:bCs/>
        <w:color w:val="365F91"/>
        <w:w w:val="99"/>
        <w:sz w:val="44"/>
        <w:szCs w:val="44"/>
      </w:rPr>
    </w:lvl>
    <w:lvl w:ilvl="2">
      <w:start w:val="1"/>
      <w:numFmt w:val="decimal"/>
      <w:lvlText w:val="%1.%2.%3"/>
      <w:lvlJc w:val="left"/>
      <w:pPr>
        <w:ind w:left="939" w:hanging="821"/>
      </w:pPr>
      <w:rPr>
        <w:rFonts w:hint="default"/>
        <w:b/>
        <w:bCs/>
        <w:w w:val="100"/>
      </w:rPr>
    </w:lvl>
    <w:lvl w:ilvl="3">
      <w:numFmt w:val="bullet"/>
      <w:lvlText w:val=""/>
      <w:lvlJc w:val="left"/>
      <w:pPr>
        <w:ind w:left="642" w:hanging="821"/>
      </w:pPr>
      <w:rPr>
        <w:rFonts w:hint="default"/>
        <w:w w:val="98"/>
      </w:rPr>
    </w:lvl>
    <w:lvl w:ilvl="4">
      <w:numFmt w:val="bullet"/>
      <w:lvlText w:val=""/>
      <w:lvlJc w:val="left"/>
      <w:pPr>
        <w:ind w:left="838" w:hanging="821"/>
      </w:pPr>
      <w:rPr>
        <w:rFonts w:ascii="Symbol" w:eastAsia="Symbol" w:hAnsi="Symbol" w:cs="Symbol" w:hint="default"/>
        <w:w w:val="100"/>
        <w:sz w:val="24"/>
        <w:szCs w:val="24"/>
      </w:rPr>
    </w:lvl>
    <w:lvl w:ilvl="5">
      <w:numFmt w:val="bullet"/>
      <w:lvlText w:val="•"/>
      <w:lvlJc w:val="left"/>
      <w:pPr>
        <w:ind w:left="2601" w:hanging="821"/>
      </w:pPr>
      <w:rPr>
        <w:rFonts w:hint="default"/>
      </w:rPr>
    </w:lvl>
    <w:lvl w:ilvl="6">
      <w:numFmt w:val="bullet"/>
      <w:lvlText w:val="•"/>
      <w:lvlJc w:val="left"/>
      <w:pPr>
        <w:ind w:left="3943" w:hanging="821"/>
      </w:pPr>
      <w:rPr>
        <w:rFonts w:hint="default"/>
      </w:rPr>
    </w:lvl>
    <w:lvl w:ilvl="7">
      <w:numFmt w:val="bullet"/>
      <w:lvlText w:val="•"/>
      <w:lvlJc w:val="left"/>
      <w:pPr>
        <w:ind w:left="5285" w:hanging="821"/>
      </w:pPr>
      <w:rPr>
        <w:rFonts w:hint="default"/>
      </w:rPr>
    </w:lvl>
    <w:lvl w:ilvl="8">
      <w:numFmt w:val="bullet"/>
      <w:lvlText w:val="•"/>
      <w:lvlJc w:val="left"/>
      <w:pPr>
        <w:ind w:left="6627" w:hanging="821"/>
      </w:pPr>
      <w:rPr>
        <w:rFonts w:hint="default"/>
      </w:rPr>
    </w:lvl>
  </w:abstractNum>
  <w:abstractNum w:abstractNumId="1">
    <w:nsid w:val="387E7C87"/>
    <w:multiLevelType w:val="multilevel"/>
    <w:tmpl w:val="86BC6A8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C0705AE"/>
    <w:multiLevelType w:val="multilevel"/>
    <w:tmpl w:val="A4F842FE"/>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nsid w:val="75A64202"/>
    <w:multiLevelType w:val="hybridMultilevel"/>
    <w:tmpl w:val="274042D6"/>
    <w:lvl w:ilvl="0" w:tplc="7B0AAD64">
      <w:start w:val="1"/>
      <w:numFmt w:val="decimal"/>
      <w:lvlText w:val="%1."/>
      <w:lvlJc w:val="left"/>
      <w:pPr>
        <w:ind w:left="685" w:hanging="567"/>
      </w:pPr>
      <w:rPr>
        <w:rFonts w:ascii="Calibri" w:eastAsia="Calibri" w:hAnsi="Calibri" w:cs="Calibri" w:hint="default"/>
        <w:b/>
        <w:bCs/>
        <w:color w:val="365F91"/>
        <w:spacing w:val="-17"/>
        <w:w w:val="100"/>
        <w:sz w:val="24"/>
        <w:szCs w:val="24"/>
      </w:rPr>
    </w:lvl>
    <w:lvl w:ilvl="1" w:tplc="78D867A4">
      <w:numFmt w:val="bullet"/>
      <w:lvlText w:val="•"/>
      <w:lvlJc w:val="left"/>
      <w:pPr>
        <w:ind w:left="1543" w:hanging="567"/>
      </w:pPr>
      <w:rPr>
        <w:rFonts w:hint="default"/>
      </w:rPr>
    </w:lvl>
    <w:lvl w:ilvl="2" w:tplc="923CA7F8">
      <w:numFmt w:val="bullet"/>
      <w:lvlText w:val="•"/>
      <w:lvlJc w:val="left"/>
      <w:pPr>
        <w:ind w:left="2406" w:hanging="567"/>
      </w:pPr>
      <w:rPr>
        <w:rFonts w:hint="default"/>
      </w:rPr>
    </w:lvl>
    <w:lvl w:ilvl="3" w:tplc="3F946B00">
      <w:numFmt w:val="bullet"/>
      <w:lvlText w:val="•"/>
      <w:lvlJc w:val="left"/>
      <w:pPr>
        <w:ind w:left="3269" w:hanging="567"/>
      </w:pPr>
      <w:rPr>
        <w:rFonts w:hint="default"/>
      </w:rPr>
    </w:lvl>
    <w:lvl w:ilvl="4" w:tplc="61EC0CC8">
      <w:numFmt w:val="bullet"/>
      <w:lvlText w:val="•"/>
      <w:lvlJc w:val="left"/>
      <w:pPr>
        <w:ind w:left="4132" w:hanging="567"/>
      </w:pPr>
      <w:rPr>
        <w:rFonts w:hint="default"/>
      </w:rPr>
    </w:lvl>
    <w:lvl w:ilvl="5" w:tplc="A1F48916">
      <w:numFmt w:val="bullet"/>
      <w:lvlText w:val="•"/>
      <w:lvlJc w:val="left"/>
      <w:pPr>
        <w:ind w:left="4995" w:hanging="567"/>
      </w:pPr>
      <w:rPr>
        <w:rFonts w:hint="default"/>
      </w:rPr>
    </w:lvl>
    <w:lvl w:ilvl="6" w:tplc="99641078">
      <w:numFmt w:val="bullet"/>
      <w:lvlText w:val="•"/>
      <w:lvlJc w:val="left"/>
      <w:pPr>
        <w:ind w:left="5858" w:hanging="567"/>
      </w:pPr>
      <w:rPr>
        <w:rFonts w:hint="default"/>
      </w:rPr>
    </w:lvl>
    <w:lvl w:ilvl="7" w:tplc="2E9471EE">
      <w:numFmt w:val="bullet"/>
      <w:lvlText w:val="•"/>
      <w:lvlJc w:val="left"/>
      <w:pPr>
        <w:ind w:left="6721" w:hanging="567"/>
      </w:pPr>
      <w:rPr>
        <w:rFonts w:hint="default"/>
      </w:rPr>
    </w:lvl>
    <w:lvl w:ilvl="8" w:tplc="2A124DBC">
      <w:numFmt w:val="bullet"/>
      <w:lvlText w:val="•"/>
      <w:lvlJc w:val="left"/>
      <w:pPr>
        <w:ind w:left="7584" w:hanging="567"/>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2"/>
  </w:num>
  <w:num w:numId="7">
    <w:abstractNumId w:val="1"/>
  </w:num>
  <w:num w:numId="8">
    <w:abstractNumId w:val="1"/>
  </w:num>
  <w:num w:numId="9">
    <w:abstractNumId w:val="1"/>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897"/>
    <w:rsid w:val="00010F56"/>
    <w:rsid w:val="00033A2E"/>
    <w:rsid w:val="000F306B"/>
    <w:rsid w:val="001033D0"/>
    <w:rsid w:val="001B1F7E"/>
    <w:rsid w:val="002811FD"/>
    <w:rsid w:val="00292A1F"/>
    <w:rsid w:val="002F42B3"/>
    <w:rsid w:val="003A4748"/>
    <w:rsid w:val="003B4D15"/>
    <w:rsid w:val="003B6744"/>
    <w:rsid w:val="00407AE6"/>
    <w:rsid w:val="00413ABA"/>
    <w:rsid w:val="00437D5F"/>
    <w:rsid w:val="004A329C"/>
    <w:rsid w:val="004F77B8"/>
    <w:rsid w:val="00524980"/>
    <w:rsid w:val="0053313B"/>
    <w:rsid w:val="00551197"/>
    <w:rsid w:val="00561370"/>
    <w:rsid w:val="005658A0"/>
    <w:rsid w:val="005735C5"/>
    <w:rsid w:val="005915C8"/>
    <w:rsid w:val="005A330B"/>
    <w:rsid w:val="005A44AD"/>
    <w:rsid w:val="005F71C2"/>
    <w:rsid w:val="00600F7E"/>
    <w:rsid w:val="006102C7"/>
    <w:rsid w:val="0067144E"/>
    <w:rsid w:val="006C450B"/>
    <w:rsid w:val="006D4374"/>
    <w:rsid w:val="007557A9"/>
    <w:rsid w:val="00773824"/>
    <w:rsid w:val="007A1F3B"/>
    <w:rsid w:val="007C10DB"/>
    <w:rsid w:val="007D4581"/>
    <w:rsid w:val="008235ED"/>
    <w:rsid w:val="00841864"/>
    <w:rsid w:val="008F3416"/>
    <w:rsid w:val="009B1B0F"/>
    <w:rsid w:val="009B3540"/>
    <w:rsid w:val="009B4FA0"/>
    <w:rsid w:val="009C102C"/>
    <w:rsid w:val="009D33AD"/>
    <w:rsid w:val="009E027F"/>
    <w:rsid w:val="00A7793A"/>
    <w:rsid w:val="00A85889"/>
    <w:rsid w:val="00A957CE"/>
    <w:rsid w:val="00AB0434"/>
    <w:rsid w:val="00B511C8"/>
    <w:rsid w:val="00B54F4E"/>
    <w:rsid w:val="00B8106E"/>
    <w:rsid w:val="00BB30BC"/>
    <w:rsid w:val="00C1011C"/>
    <w:rsid w:val="00C16ACE"/>
    <w:rsid w:val="00CA6025"/>
    <w:rsid w:val="00D03999"/>
    <w:rsid w:val="00E368BA"/>
    <w:rsid w:val="00E41FAF"/>
    <w:rsid w:val="00E50875"/>
    <w:rsid w:val="00E60454"/>
    <w:rsid w:val="00E71897"/>
    <w:rsid w:val="00E84AEF"/>
    <w:rsid w:val="00EA73AC"/>
    <w:rsid w:val="00EB4120"/>
    <w:rsid w:val="00F0286A"/>
    <w:rsid w:val="00F257C3"/>
    <w:rsid w:val="00F35853"/>
    <w:rsid w:val="00F635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5F0FC-CE4E-4516-9ED7-BDFBB8F5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sz w:val="22"/>
        <w:szCs w:val="22"/>
        <w:lang w:val="en-GB" w:eastAsia="ja-JP"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957CE"/>
  </w:style>
  <w:style w:type="paragraph" w:styleId="Heading1">
    <w:name w:val="heading 1"/>
    <w:next w:val="BodyText1"/>
    <w:link w:val="Heading1Char"/>
    <w:uiPriority w:val="2"/>
    <w:qFormat/>
    <w:rsid w:val="00773824"/>
    <w:pPr>
      <w:keepNext/>
      <w:widowControl w:val="0"/>
      <w:numPr>
        <w:numId w:val="10"/>
      </w:numPr>
      <w:spacing w:before="480" w:after="120"/>
      <w:outlineLvl w:val="0"/>
    </w:pPr>
    <w:rPr>
      <w:rFonts w:cs="Arial"/>
      <w:b/>
      <w:caps/>
      <w:sz w:val="24"/>
    </w:rPr>
  </w:style>
  <w:style w:type="paragraph" w:styleId="Heading2">
    <w:name w:val="heading 2"/>
    <w:basedOn w:val="Heading1"/>
    <w:next w:val="BodyText1"/>
    <w:link w:val="Heading2Char"/>
    <w:uiPriority w:val="2"/>
    <w:qFormat/>
    <w:rsid w:val="00773824"/>
    <w:pPr>
      <w:numPr>
        <w:ilvl w:val="1"/>
      </w:numPr>
      <w:spacing w:before="240"/>
      <w:outlineLvl w:val="1"/>
    </w:pPr>
    <w:rPr>
      <w:rFonts w:ascii="Arial Bold" w:hAnsi="Arial Bold"/>
      <w:caps w:val="0"/>
      <w:sz w:val="22"/>
    </w:rPr>
  </w:style>
  <w:style w:type="paragraph" w:styleId="Heading3">
    <w:name w:val="heading 3"/>
    <w:basedOn w:val="Heading2"/>
    <w:next w:val="BodyText1"/>
    <w:link w:val="Heading3Char"/>
    <w:uiPriority w:val="2"/>
    <w:qFormat/>
    <w:rsid w:val="00773824"/>
    <w:pPr>
      <w:numPr>
        <w:ilvl w:val="2"/>
      </w:numPr>
      <w:outlineLvl w:val="2"/>
    </w:pPr>
  </w:style>
  <w:style w:type="paragraph" w:styleId="Heading4">
    <w:name w:val="heading 4"/>
    <w:basedOn w:val="Heading3"/>
    <w:next w:val="BodyText1"/>
    <w:link w:val="Heading4Char"/>
    <w:uiPriority w:val="2"/>
    <w:qFormat/>
    <w:rsid w:val="00773824"/>
    <w:pPr>
      <w:numPr>
        <w:ilvl w:val="3"/>
        <w:numId w:val="5"/>
      </w:numPr>
      <w:outlineLvl w:val="3"/>
    </w:pPr>
    <w:rPr>
      <w:b w:val="0"/>
    </w:rPr>
  </w:style>
  <w:style w:type="paragraph" w:styleId="Heading5">
    <w:name w:val="heading 5"/>
    <w:basedOn w:val="Normal"/>
    <w:next w:val="BodyText"/>
    <w:link w:val="Heading5Char"/>
    <w:uiPriority w:val="2"/>
    <w:qFormat/>
    <w:rsid w:val="00773824"/>
    <w:pPr>
      <w:tabs>
        <w:tab w:val="num" w:pos="1008"/>
      </w:tabs>
      <w:spacing w:before="240" w:after="60"/>
      <w:ind w:left="1008" w:hanging="1008"/>
      <w:outlineLvl w:val="4"/>
    </w:pPr>
    <w:rPr>
      <w:rFonts w:cs="Arial"/>
      <w:szCs w:val="20"/>
    </w:rPr>
  </w:style>
  <w:style w:type="paragraph" w:styleId="Heading6">
    <w:name w:val="heading 6"/>
    <w:basedOn w:val="Normal"/>
    <w:next w:val="Normal"/>
    <w:link w:val="Heading6Char"/>
    <w:uiPriority w:val="2"/>
    <w:qFormat/>
    <w:rsid w:val="00773824"/>
    <w:pPr>
      <w:tabs>
        <w:tab w:val="num" w:pos="1152"/>
      </w:tabs>
      <w:spacing w:before="240" w:after="60"/>
      <w:ind w:left="1152" w:hanging="1152"/>
      <w:outlineLvl w:val="5"/>
    </w:pPr>
    <w:rPr>
      <w:rFonts w:ascii="Times New Roman" w:eastAsia="Times New Roman" w:hAnsi="Times New Roman"/>
      <w:i/>
      <w:szCs w:val="20"/>
    </w:rPr>
  </w:style>
  <w:style w:type="paragraph" w:styleId="Heading8">
    <w:name w:val="heading 8"/>
    <w:basedOn w:val="Normal"/>
    <w:next w:val="Normal"/>
    <w:link w:val="Heading8Char"/>
    <w:uiPriority w:val="9"/>
    <w:semiHidden/>
    <w:unhideWhenUsed/>
    <w:rsid w:val="00D0399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73824"/>
    <w:pPr>
      <w:ind w:left="851"/>
    </w:pPr>
  </w:style>
  <w:style w:type="paragraph" w:styleId="BodyText">
    <w:name w:val="Body Text"/>
    <w:aliases w:val="Body single,ubric,Body Text DGP,Body Text Char1,Body Text Char Char,ALTB"/>
    <w:basedOn w:val="Normal"/>
    <w:link w:val="BodyTextChar"/>
    <w:qFormat/>
    <w:rsid w:val="00773824"/>
    <w:pPr>
      <w:spacing w:after="120"/>
    </w:pPr>
  </w:style>
  <w:style w:type="character" w:customStyle="1" w:styleId="BodyTextChar">
    <w:name w:val="Body Text Char"/>
    <w:aliases w:val="Body single Char,ubric Char,Body Text DGP Char,Body Text Char1 Char,Body Text Char Char Char,ALTB Char"/>
    <w:basedOn w:val="DefaultParagraphFont"/>
    <w:link w:val="BodyText"/>
    <w:rsid w:val="00773824"/>
  </w:style>
  <w:style w:type="character" w:customStyle="1" w:styleId="Heading1Char">
    <w:name w:val="Heading 1 Char"/>
    <w:basedOn w:val="DefaultParagraphFont"/>
    <w:link w:val="Heading1"/>
    <w:uiPriority w:val="2"/>
    <w:rsid w:val="00773824"/>
    <w:rPr>
      <w:rFonts w:cs="Arial"/>
      <w:b/>
      <w:caps/>
      <w:sz w:val="24"/>
    </w:rPr>
  </w:style>
  <w:style w:type="character" w:customStyle="1" w:styleId="Heading2Char">
    <w:name w:val="Heading 2 Char"/>
    <w:basedOn w:val="DefaultParagraphFont"/>
    <w:link w:val="Heading2"/>
    <w:uiPriority w:val="2"/>
    <w:rsid w:val="00773824"/>
    <w:rPr>
      <w:rFonts w:ascii="Arial Bold" w:hAnsi="Arial Bold" w:cs="Arial"/>
      <w:b/>
    </w:rPr>
  </w:style>
  <w:style w:type="character" w:customStyle="1" w:styleId="Heading3Char">
    <w:name w:val="Heading 3 Char"/>
    <w:basedOn w:val="DefaultParagraphFont"/>
    <w:link w:val="Heading3"/>
    <w:uiPriority w:val="2"/>
    <w:rsid w:val="00773824"/>
    <w:rPr>
      <w:rFonts w:ascii="Arial Bold" w:hAnsi="Arial Bold" w:cs="Arial"/>
      <w:b/>
    </w:rPr>
  </w:style>
  <w:style w:type="character" w:customStyle="1" w:styleId="Heading4Char">
    <w:name w:val="Heading 4 Char"/>
    <w:basedOn w:val="DefaultParagraphFont"/>
    <w:link w:val="Heading4"/>
    <w:uiPriority w:val="2"/>
    <w:rsid w:val="00773824"/>
    <w:rPr>
      <w:rFonts w:ascii="Arial Bold" w:hAnsi="Arial Bold" w:cs="Arial"/>
    </w:rPr>
  </w:style>
  <w:style w:type="character" w:customStyle="1" w:styleId="Heading5Char">
    <w:name w:val="Heading 5 Char"/>
    <w:basedOn w:val="DefaultParagraphFont"/>
    <w:link w:val="Heading5"/>
    <w:uiPriority w:val="2"/>
    <w:rsid w:val="00773824"/>
    <w:rPr>
      <w:rFonts w:cs="Arial"/>
      <w:szCs w:val="20"/>
    </w:rPr>
  </w:style>
  <w:style w:type="character" w:customStyle="1" w:styleId="Heading6Char">
    <w:name w:val="Heading 6 Char"/>
    <w:basedOn w:val="DefaultParagraphFont"/>
    <w:link w:val="Heading6"/>
    <w:uiPriority w:val="2"/>
    <w:rsid w:val="00773824"/>
    <w:rPr>
      <w:rFonts w:ascii="Times New Roman" w:eastAsia="Times New Roman" w:hAnsi="Times New Roman"/>
      <w:i/>
      <w:szCs w:val="20"/>
    </w:rPr>
  </w:style>
  <w:style w:type="paragraph" w:styleId="TOC1">
    <w:name w:val="toc 1"/>
    <w:basedOn w:val="Normal"/>
    <w:next w:val="Normal"/>
    <w:autoRedefine/>
    <w:uiPriority w:val="39"/>
    <w:qFormat/>
    <w:rsid w:val="00773824"/>
    <w:pPr>
      <w:tabs>
        <w:tab w:val="left" w:pos="567"/>
        <w:tab w:val="right" w:leader="dot" w:pos="9061"/>
      </w:tabs>
      <w:spacing w:before="120"/>
    </w:pPr>
    <w:rPr>
      <w:b/>
      <w:caps/>
      <w:noProof/>
      <w:szCs w:val="28"/>
    </w:rPr>
  </w:style>
  <w:style w:type="paragraph" w:styleId="TOC2">
    <w:name w:val="toc 2"/>
    <w:basedOn w:val="Normal"/>
    <w:next w:val="Normal"/>
    <w:autoRedefine/>
    <w:uiPriority w:val="39"/>
    <w:qFormat/>
    <w:rsid w:val="00773824"/>
    <w:pPr>
      <w:tabs>
        <w:tab w:val="left" w:pos="960"/>
        <w:tab w:val="right" w:leader="dot" w:pos="9072"/>
      </w:tabs>
      <w:ind w:left="993" w:hanging="773"/>
    </w:pPr>
    <w:rPr>
      <w:noProof/>
      <w:szCs w:val="24"/>
    </w:rPr>
  </w:style>
  <w:style w:type="paragraph" w:styleId="TOC3">
    <w:name w:val="toc 3"/>
    <w:basedOn w:val="Normal"/>
    <w:next w:val="Normal"/>
    <w:autoRedefine/>
    <w:uiPriority w:val="39"/>
    <w:qFormat/>
    <w:rsid w:val="00773824"/>
    <w:pPr>
      <w:tabs>
        <w:tab w:val="left" w:pos="1440"/>
        <w:tab w:val="right" w:leader="dot" w:pos="9072"/>
      </w:tabs>
      <w:ind w:left="1456" w:hanging="1016"/>
    </w:pPr>
    <w:rPr>
      <w:noProof/>
      <w:szCs w:val="24"/>
    </w:rPr>
  </w:style>
  <w:style w:type="paragraph" w:styleId="TOCHeading">
    <w:name w:val="TOC Heading"/>
    <w:basedOn w:val="Heading1"/>
    <w:next w:val="Normal"/>
    <w:uiPriority w:val="39"/>
    <w:semiHidden/>
    <w:unhideWhenUsed/>
    <w:qFormat/>
    <w:rsid w:val="00773824"/>
    <w:pPr>
      <w:keepLines/>
      <w:widowControl/>
      <w:numPr>
        <w:numId w:val="0"/>
      </w:numPr>
      <w:spacing w:after="0"/>
      <w:outlineLvl w:val="9"/>
    </w:pPr>
    <w:rPr>
      <w:rFonts w:asciiTheme="majorHAnsi" w:eastAsiaTheme="majorEastAsia" w:hAnsiTheme="majorHAnsi" w:cstheme="majorBidi"/>
      <w:bCs/>
      <w:caps w:val="0"/>
      <w:color w:val="365F91" w:themeColor="accent1" w:themeShade="BF"/>
      <w:sz w:val="28"/>
      <w:szCs w:val="28"/>
    </w:rPr>
  </w:style>
  <w:style w:type="paragraph" w:styleId="ListParagraph">
    <w:name w:val="List Paragraph"/>
    <w:basedOn w:val="Normal"/>
    <w:uiPriority w:val="1"/>
    <w:qFormat/>
    <w:rsid w:val="00BB30BC"/>
    <w:pPr>
      <w:ind w:left="720"/>
      <w:contextualSpacing/>
    </w:pPr>
  </w:style>
  <w:style w:type="table" w:styleId="TableGrid">
    <w:name w:val="Table Grid"/>
    <w:basedOn w:val="TableNormal"/>
    <w:uiPriority w:val="39"/>
    <w:rsid w:val="00E71897"/>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144E"/>
    <w:pPr>
      <w:tabs>
        <w:tab w:val="center" w:pos="4513"/>
        <w:tab w:val="right" w:pos="9026"/>
      </w:tabs>
    </w:pPr>
  </w:style>
  <w:style w:type="character" w:customStyle="1" w:styleId="HeaderChar">
    <w:name w:val="Header Char"/>
    <w:basedOn w:val="DefaultParagraphFont"/>
    <w:link w:val="Header"/>
    <w:uiPriority w:val="99"/>
    <w:rsid w:val="0067144E"/>
  </w:style>
  <w:style w:type="paragraph" w:styleId="Footer">
    <w:name w:val="footer"/>
    <w:basedOn w:val="Normal"/>
    <w:link w:val="FooterChar"/>
    <w:uiPriority w:val="99"/>
    <w:unhideWhenUsed/>
    <w:rsid w:val="0067144E"/>
    <w:pPr>
      <w:tabs>
        <w:tab w:val="center" w:pos="4513"/>
        <w:tab w:val="right" w:pos="9026"/>
      </w:tabs>
    </w:pPr>
  </w:style>
  <w:style w:type="character" w:customStyle="1" w:styleId="FooterChar">
    <w:name w:val="Footer Char"/>
    <w:basedOn w:val="DefaultParagraphFont"/>
    <w:link w:val="Footer"/>
    <w:uiPriority w:val="99"/>
    <w:rsid w:val="0067144E"/>
  </w:style>
  <w:style w:type="paragraph" w:styleId="BalloonText">
    <w:name w:val="Balloon Text"/>
    <w:basedOn w:val="Normal"/>
    <w:link w:val="BalloonTextChar"/>
    <w:uiPriority w:val="99"/>
    <w:semiHidden/>
    <w:unhideWhenUsed/>
    <w:rsid w:val="006C450B"/>
    <w:rPr>
      <w:rFonts w:ascii="Tahoma" w:hAnsi="Tahoma" w:cs="Tahoma"/>
      <w:sz w:val="16"/>
      <w:szCs w:val="16"/>
    </w:rPr>
  </w:style>
  <w:style w:type="character" w:customStyle="1" w:styleId="BalloonTextChar">
    <w:name w:val="Balloon Text Char"/>
    <w:basedOn w:val="DefaultParagraphFont"/>
    <w:link w:val="BalloonText"/>
    <w:uiPriority w:val="99"/>
    <w:semiHidden/>
    <w:rsid w:val="006C450B"/>
    <w:rPr>
      <w:rFonts w:ascii="Tahoma" w:hAnsi="Tahoma" w:cs="Tahoma"/>
      <w:sz w:val="16"/>
      <w:szCs w:val="16"/>
    </w:rPr>
  </w:style>
  <w:style w:type="character" w:customStyle="1" w:styleId="Heading8Char">
    <w:name w:val="Heading 8 Char"/>
    <w:basedOn w:val="DefaultParagraphFont"/>
    <w:link w:val="Heading8"/>
    <w:uiPriority w:val="9"/>
    <w:semiHidden/>
    <w:rsid w:val="00D03999"/>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DC17F-C93B-44BA-B517-5B922AF9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Saddington Parish Neighbourhood Forum</Company>
  <LinksUpToDate>false</LinksUpToDate>
  <CharactersWithSpaces>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Carter</dc:creator>
  <cp:lastModifiedBy>Chris Carter</cp:lastModifiedBy>
  <cp:revision>6</cp:revision>
  <cp:lastPrinted>2018-02-09T18:23:00Z</cp:lastPrinted>
  <dcterms:created xsi:type="dcterms:W3CDTF">2018-02-19T19:51:00Z</dcterms:created>
  <dcterms:modified xsi:type="dcterms:W3CDTF">2018-10-04T02:30:00Z</dcterms:modified>
</cp:coreProperties>
</file>