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spacing w:before="242"/>
        <w:ind w:left="130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right="3590" w:firstLine="200"/>
      </w:pPr>
      <w:r>
        <w:rPr>
          <w:b w:val="0"/>
        </w:rPr>
        <w:br w:type="column"/>
      </w:r>
      <w:r>
        <w:rPr/>
        <w:t>Shawell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580" w:right="3460"/>
          <w:cols w:num="2" w:equalWidth="0">
            <w:col w:w="1552" w:space="4942"/>
            <w:col w:w="13276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580" w:right="3460"/>
        </w:sectPr>
      </w:pPr>
    </w:p>
    <w:p>
      <w:pPr>
        <w:pStyle w:val="Heading2"/>
        <w:spacing w:line="403" w:lineRule="auto" w:before="65"/>
      </w:pPr>
      <w:r>
        <w:rPr/>
        <w:t>Not recommended for LGS Designation Recommended for LGS designation Wildlife Sites</w:t>
      </w:r>
    </w:p>
    <w:p>
      <w:pPr>
        <w:spacing w:before="10"/>
        <w:ind w:left="1073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4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130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0"/>
        <w:ind w:left="130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2"/>
        <w:ind w:left="119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3947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19" w:right="-16"/>
      </w:pPr>
      <w:r>
        <w:rPr/>
        <w:t>Shawell</w:t>
      </w:r>
      <w:r>
        <w:rPr>
          <w:spacing w:val="-8"/>
        </w:rPr>
        <w:t> </w:t>
      </w:r>
      <w:r>
        <w:rPr/>
        <w:t>Woods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119"/>
      </w:pPr>
      <w:r>
        <w:rPr/>
        <w:t>Shawell Woods</w:t>
      </w:r>
    </w:p>
    <w:p>
      <w:pPr>
        <w:spacing w:after="0"/>
        <w:sectPr>
          <w:type w:val="continuous"/>
          <w:pgSz w:w="23810" w:h="16850" w:orient="landscape"/>
          <w:pgMar w:top="400" w:bottom="0" w:left="580" w:right="3460"/>
          <w:cols w:num="3" w:equalWidth="0">
            <w:col w:w="6130" w:space="5976"/>
            <w:col w:w="1218" w:space="1304"/>
            <w:col w:w="514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712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710;top:2256;width:799;height:401" filled="true" fillcolor="#f27f7f" stroked="false">
              <v:fill type="solid"/>
            </v:rect>
            <v:rect style="position:absolute;left:710;top:2256;width:799;height:401" filled="false" stroked="true" strokeweight="2.04pt" strokecolor="#7f7f7f"/>
            <v:rect style="position:absolute;left:710;top:2801;width:799;height:398" filled="true" fillcolor="#92b87f" stroked="false">
              <v:fill type="solid"/>
            </v:rect>
            <v:rect style="position:absolute;left:710;top:2801;width:799;height:398" filled="false" stroked="true" strokeweight="3pt" strokecolor="#7f7f7f"/>
            <v:rect style="position:absolute;left:710;top:3343;width:799;height:401" filled="true" fillcolor="#bcf1f4" stroked="false">
              <v:fill type="solid"/>
            </v:rect>
            <v:rect style="position:absolute;left:710;top:3343;width:799;height:401" filled="false" stroked="true" strokeweight=".36pt" strokecolor="#6d6d6d"/>
            <v:rect style="position:absolute;left:710;top:3885;width:799;height:401" filled="true" fillcolor="#ccf27f" stroked="false">
              <v:fill type="solid"/>
            </v:rect>
            <v:rect style="position:absolute;left:710;top:3885;width:799;height:401" filled="false" stroked="true" strokeweight="2.04pt" strokecolor="#b7b7b7"/>
            <v:shape style="position:absolute;left:710;top:5709;width:800;height:2" coordorigin="710,5709" coordsize="800,0" path="m710,5709l790,5709m850,5709l890,5709m950,5709l1030,5709m1090,5709l1130,5709m1190,5709l1270,5709m1330,5709l1370,5709m1430,5709l1510,5709e" filled="false" stroked="true" strokeweight="1.44pt" strokecolor="#e50000">
              <v:path arrowok="t"/>
            </v:shape>
            <v:shape style="position:absolute;left:710;top:6252;width:641;height:2" coordorigin="710,6252" coordsize="641,0" path="m710,6252l970,6252m1090,6252l1351,6252e" filled="false" stroked="true" strokeweight="6pt" strokecolor="#e50000">
              <v:path arrowok="t"/>
            </v:shape>
            <v:line style="position:absolute" from="1490,6192" to="1490,6312" stroked="true" strokeweight="1.92pt" strokecolor="#e50000"/>
            <v:shape style="position:absolute;left:710;top:7337;width:800;height:2" coordorigin="710,7337" coordsize="800,0" path="m710,7337l830,7337m950,7337l1070,7337m1190,7337l1310,7337m1430,7337l1510,7337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81"/>
        <w:ind w:left="2256"/>
      </w:pPr>
      <w:r>
        <w:rPr/>
        <w:t>Green Lane Spinney Hedgerows, Site 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80"/>
        <w:ind w:left="6967"/>
      </w:pPr>
      <w:r>
        <w:rPr/>
        <w:t>Shawell Pits, Shawell; Area 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6358"/>
      </w:pPr>
      <w:r>
        <w:rPr/>
        <w:t>Shawell Pits, Shawell; Area 2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80"/>
        <w:ind w:left="9977"/>
      </w:pPr>
      <w:r>
        <w:rPr>
          <w:color w:val="002672"/>
        </w:rPr>
        <w:t>LGS/SHAW/1a,b1,b2,c,d1,d2,e,f,g,h - Central Village LGS Shawell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5983"/>
      </w:pPr>
      <w:r>
        <w:rPr/>
        <w:t>Shawell Pits, Shawell; Area 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71"/>
        <w:ind w:left="4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58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30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"/>
      <w:ind w:left="1073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2016-05-06T08:09:33Z</dcterms:created>
  <dcterms:modified xsi:type="dcterms:W3CDTF">2016-05-06T08:09:33Z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