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0A36" w14:textId="5740AC69" w:rsidR="009E7683" w:rsidRPr="000419D7" w:rsidRDefault="00D537BB" w:rsidP="009E7683">
      <w:pPr>
        <w:rPr>
          <w:rFonts w:asciiTheme="majorHAnsi" w:hAnsiTheme="majorHAnsi"/>
          <w:b/>
        </w:rPr>
      </w:pPr>
      <w:r>
        <w:rPr>
          <w:rFonts w:asciiTheme="majorHAnsi" w:hAnsiTheme="majorHAnsi"/>
          <w:b/>
        </w:rPr>
        <w:t xml:space="preserve">Hallaton </w:t>
      </w:r>
      <w:r w:rsidR="009E7683" w:rsidRPr="000419D7">
        <w:rPr>
          <w:rFonts w:asciiTheme="majorHAnsi" w:hAnsiTheme="majorHAnsi"/>
          <w:b/>
        </w:rPr>
        <w:t>Neighbourhood Plan Examination</w:t>
      </w:r>
    </w:p>
    <w:p w14:paraId="471C721D" w14:textId="4A867EEA" w:rsidR="009E7683" w:rsidRPr="000419D7" w:rsidRDefault="009E7683" w:rsidP="009E7683">
      <w:pPr>
        <w:rPr>
          <w:rFonts w:asciiTheme="majorHAnsi" w:hAnsiTheme="majorHAnsi"/>
          <w:b/>
        </w:rPr>
      </w:pPr>
      <w:r w:rsidRPr="000419D7">
        <w:rPr>
          <w:rFonts w:asciiTheme="majorHAnsi" w:hAnsiTheme="majorHAnsi"/>
          <w:b/>
        </w:rPr>
        <w:t>Questions of clarification from the Examiner</w:t>
      </w:r>
      <w:r w:rsidR="00B45FE8">
        <w:rPr>
          <w:rFonts w:asciiTheme="majorHAnsi" w:hAnsiTheme="majorHAnsi"/>
          <w:b/>
        </w:rPr>
        <w:t xml:space="preserve"> to </w:t>
      </w:r>
      <w:r w:rsidR="002E3BAB">
        <w:rPr>
          <w:rFonts w:asciiTheme="majorHAnsi" w:hAnsiTheme="majorHAnsi"/>
          <w:b/>
        </w:rPr>
        <w:t xml:space="preserve">the </w:t>
      </w:r>
      <w:r w:rsidR="00CF3380">
        <w:rPr>
          <w:rFonts w:asciiTheme="majorHAnsi" w:hAnsiTheme="majorHAnsi"/>
          <w:b/>
        </w:rPr>
        <w:t xml:space="preserve">Parish </w:t>
      </w:r>
      <w:r w:rsidR="002E3BAB">
        <w:rPr>
          <w:rFonts w:asciiTheme="majorHAnsi" w:hAnsiTheme="majorHAnsi"/>
          <w:b/>
        </w:rPr>
        <w:t xml:space="preserve">Council </w:t>
      </w:r>
      <w:r w:rsidR="00176F2C">
        <w:rPr>
          <w:rFonts w:asciiTheme="majorHAnsi" w:hAnsiTheme="majorHAnsi"/>
          <w:b/>
        </w:rPr>
        <w:t xml:space="preserve">and </w:t>
      </w:r>
      <w:r w:rsidR="00D537BB">
        <w:rPr>
          <w:rFonts w:asciiTheme="majorHAnsi" w:hAnsiTheme="majorHAnsi"/>
          <w:b/>
        </w:rPr>
        <w:t>H</w:t>
      </w:r>
      <w:r w:rsidR="00F34F4F">
        <w:rPr>
          <w:rFonts w:asciiTheme="majorHAnsi" w:hAnsiTheme="majorHAnsi"/>
          <w:b/>
        </w:rPr>
        <w:t>D</w:t>
      </w:r>
      <w:r>
        <w:rPr>
          <w:rFonts w:asciiTheme="majorHAnsi" w:hAnsiTheme="majorHAnsi"/>
          <w:b/>
        </w:rPr>
        <w:t>C</w:t>
      </w:r>
    </w:p>
    <w:p w14:paraId="6106A364" w14:textId="77777777" w:rsidR="009E7683" w:rsidRDefault="009E7683" w:rsidP="009E7683">
      <w:pPr>
        <w:rPr>
          <w:rFonts w:asciiTheme="majorHAnsi" w:hAnsiTheme="majorHAnsi"/>
        </w:rPr>
      </w:pPr>
    </w:p>
    <w:p w14:paraId="55988725" w14:textId="60EB2DE0" w:rsidR="002E3BAB" w:rsidRDefault="00021AD3" w:rsidP="002E3BAB">
      <w:pPr>
        <w:rPr>
          <w:rFonts w:asciiTheme="majorHAnsi" w:hAnsiTheme="majorHAnsi"/>
        </w:rPr>
      </w:pPr>
      <w:r>
        <w:rPr>
          <w:rFonts w:asciiTheme="majorHAnsi" w:hAnsiTheme="majorHAnsi"/>
        </w:rPr>
        <w:t>Having completed my</w:t>
      </w:r>
      <w:r w:rsidR="009E7683" w:rsidRPr="009E7683">
        <w:rPr>
          <w:rFonts w:asciiTheme="majorHAnsi" w:hAnsiTheme="majorHAnsi"/>
        </w:rPr>
        <w:t xml:space="preserve"> </w:t>
      </w:r>
      <w:r w:rsidR="00944C54">
        <w:rPr>
          <w:rFonts w:asciiTheme="majorHAnsi" w:hAnsiTheme="majorHAnsi"/>
        </w:rPr>
        <w:t xml:space="preserve">initial </w:t>
      </w:r>
      <w:r w:rsidR="009E7683" w:rsidRPr="009E7683">
        <w:rPr>
          <w:rFonts w:asciiTheme="majorHAnsi" w:hAnsiTheme="majorHAnsi"/>
        </w:rPr>
        <w:t xml:space="preserve">review of the Neighbourhood Plan </w:t>
      </w:r>
      <w:r w:rsidR="009F5E38">
        <w:rPr>
          <w:rFonts w:asciiTheme="majorHAnsi" w:hAnsiTheme="majorHAnsi"/>
        </w:rPr>
        <w:t>(the Plan</w:t>
      </w:r>
      <w:r w:rsidR="00266B3E">
        <w:rPr>
          <w:rFonts w:asciiTheme="majorHAnsi" w:hAnsiTheme="majorHAnsi"/>
        </w:rPr>
        <w:t>)</w:t>
      </w:r>
      <w:r w:rsidR="009E7683">
        <w:rPr>
          <w:rFonts w:asciiTheme="majorHAnsi" w:hAnsiTheme="majorHAnsi"/>
        </w:rPr>
        <w:t>, I would be grat</w:t>
      </w:r>
      <w:r w:rsidR="003D4495">
        <w:rPr>
          <w:rFonts w:asciiTheme="majorHAnsi" w:hAnsiTheme="majorHAnsi"/>
        </w:rPr>
        <w:t xml:space="preserve">eful if both </w:t>
      </w:r>
      <w:r w:rsidR="009E7683">
        <w:rPr>
          <w:rFonts w:asciiTheme="majorHAnsi" w:hAnsiTheme="majorHAnsi"/>
        </w:rPr>
        <w:t xml:space="preserve">Councils could kindly assist me </w:t>
      </w:r>
      <w:r w:rsidR="003D4495">
        <w:rPr>
          <w:rFonts w:asciiTheme="majorHAnsi" w:hAnsiTheme="majorHAnsi"/>
        </w:rPr>
        <w:t xml:space="preserve">as appropriate </w:t>
      </w:r>
      <w:r w:rsidR="009E7683">
        <w:rPr>
          <w:rFonts w:asciiTheme="majorHAnsi" w:hAnsiTheme="majorHAnsi"/>
        </w:rPr>
        <w:t>in answering the following questions which either relate to matters of fact or are areas in which I seek clarification</w:t>
      </w:r>
      <w:r w:rsidR="00F603E0">
        <w:rPr>
          <w:rFonts w:asciiTheme="majorHAnsi" w:hAnsiTheme="majorHAnsi"/>
        </w:rPr>
        <w:t xml:space="preserve"> or further information</w:t>
      </w:r>
      <w:r w:rsidR="009E7683">
        <w:rPr>
          <w:rFonts w:asciiTheme="majorHAnsi" w:hAnsiTheme="majorHAnsi"/>
        </w:rPr>
        <w:t>.</w:t>
      </w:r>
      <w:r w:rsidR="00880E1F">
        <w:rPr>
          <w:rFonts w:asciiTheme="majorHAnsi" w:hAnsiTheme="majorHAnsi"/>
        </w:rPr>
        <w:t xml:space="preserve">  </w:t>
      </w:r>
      <w:r w:rsidR="002E3BAB">
        <w:rPr>
          <w:rFonts w:asciiTheme="majorHAnsi" w:hAnsiTheme="majorHAnsi"/>
        </w:rPr>
        <w:t xml:space="preserve">Please </w:t>
      </w:r>
      <w:r w:rsidR="004E397C">
        <w:rPr>
          <w:rFonts w:asciiTheme="majorHAnsi" w:hAnsiTheme="majorHAnsi"/>
        </w:rPr>
        <w:t>do not send</w:t>
      </w:r>
      <w:r w:rsidR="002E3BAB">
        <w:rPr>
          <w:rFonts w:asciiTheme="majorHAnsi" w:hAnsiTheme="majorHAnsi"/>
        </w:rPr>
        <w:t xml:space="preserve"> or direct me to evidence that is not already publicly available.</w:t>
      </w:r>
    </w:p>
    <w:p w14:paraId="29C3E076" w14:textId="77777777" w:rsidR="00D924F5" w:rsidRPr="00D924F5" w:rsidRDefault="00D924F5" w:rsidP="00D924F5">
      <w:pPr>
        <w:rPr>
          <w:rFonts w:asciiTheme="majorHAnsi" w:hAnsiTheme="majorHAnsi"/>
        </w:rPr>
      </w:pPr>
    </w:p>
    <w:p w14:paraId="565082BC" w14:textId="11B3C635" w:rsidR="005C780D" w:rsidRPr="008621D3" w:rsidRDefault="005C0111" w:rsidP="008621D3">
      <w:pPr>
        <w:pStyle w:val="ListParagraph"/>
        <w:numPr>
          <w:ilvl w:val="0"/>
          <w:numId w:val="6"/>
        </w:numPr>
        <w:rPr>
          <w:rFonts w:asciiTheme="majorHAnsi" w:hAnsiTheme="majorHAnsi"/>
        </w:rPr>
      </w:pPr>
      <w:r w:rsidRPr="008621D3">
        <w:rPr>
          <w:rFonts w:asciiTheme="majorHAnsi" w:hAnsiTheme="majorHAnsi"/>
        </w:rPr>
        <w:t>Please could HDC clarify their comment on page 35 of the representations document in relation to page 21 of the Plan and indicate what, if any, modification might be needed?</w:t>
      </w:r>
    </w:p>
    <w:p w14:paraId="69B44395" w14:textId="77777777" w:rsidR="005C780D" w:rsidRDefault="005C780D" w:rsidP="005C780D">
      <w:pPr>
        <w:pStyle w:val="ListParagraph"/>
        <w:ind w:left="360"/>
        <w:rPr>
          <w:rFonts w:asciiTheme="majorHAnsi" w:hAnsiTheme="majorHAnsi"/>
        </w:rPr>
      </w:pPr>
    </w:p>
    <w:p w14:paraId="765D83E7" w14:textId="32A366E4" w:rsidR="006D34E9" w:rsidRDefault="006D34E9" w:rsidP="00820AA8">
      <w:pPr>
        <w:pStyle w:val="ListParagraph"/>
        <w:numPr>
          <w:ilvl w:val="0"/>
          <w:numId w:val="6"/>
        </w:numPr>
        <w:rPr>
          <w:rFonts w:asciiTheme="majorHAnsi" w:hAnsiTheme="majorHAnsi"/>
        </w:rPr>
      </w:pPr>
      <w:r>
        <w:rPr>
          <w:rFonts w:asciiTheme="majorHAnsi" w:hAnsiTheme="majorHAnsi"/>
        </w:rPr>
        <w:t>Please could HDC confirm the up to date minimum housing number Hallaton is expected to plan for in the Plan period (taking into account completions and commitments etc.)?</w:t>
      </w:r>
    </w:p>
    <w:p w14:paraId="3607E174" w14:textId="77777777" w:rsidR="000903BB" w:rsidRPr="000903BB" w:rsidRDefault="000903BB" w:rsidP="000903BB">
      <w:pPr>
        <w:rPr>
          <w:rFonts w:asciiTheme="majorHAnsi" w:hAnsiTheme="majorHAnsi"/>
        </w:rPr>
      </w:pPr>
    </w:p>
    <w:p w14:paraId="1A61D3D2" w14:textId="514A1BAD" w:rsidR="000903BB" w:rsidRDefault="000903BB" w:rsidP="00820AA8">
      <w:pPr>
        <w:pStyle w:val="ListParagraph"/>
        <w:numPr>
          <w:ilvl w:val="0"/>
          <w:numId w:val="6"/>
        </w:numPr>
        <w:rPr>
          <w:rFonts w:asciiTheme="majorHAnsi" w:hAnsiTheme="majorHAnsi"/>
        </w:rPr>
      </w:pPr>
      <w:r>
        <w:rPr>
          <w:rFonts w:asciiTheme="majorHAnsi" w:hAnsiTheme="majorHAnsi"/>
        </w:rPr>
        <w:t>Please could I be updated on any planning applications or appeals on the three proposed site allocations subject of Policy HBE 3.</w:t>
      </w:r>
    </w:p>
    <w:p w14:paraId="2314A62C" w14:textId="77777777" w:rsidR="000903BB" w:rsidRPr="000903BB" w:rsidRDefault="000903BB" w:rsidP="000903BB">
      <w:pPr>
        <w:rPr>
          <w:rFonts w:asciiTheme="majorHAnsi" w:hAnsiTheme="majorHAnsi"/>
        </w:rPr>
      </w:pPr>
    </w:p>
    <w:p w14:paraId="741E810F" w14:textId="4313DBD3" w:rsidR="000903BB" w:rsidRDefault="000903BB" w:rsidP="00820AA8">
      <w:pPr>
        <w:pStyle w:val="ListParagraph"/>
        <w:numPr>
          <w:ilvl w:val="0"/>
          <w:numId w:val="6"/>
        </w:numPr>
        <w:rPr>
          <w:rFonts w:asciiTheme="majorHAnsi" w:hAnsiTheme="majorHAnsi"/>
        </w:rPr>
      </w:pPr>
      <w:r>
        <w:rPr>
          <w:rFonts w:asciiTheme="majorHAnsi" w:hAnsiTheme="majorHAnsi"/>
        </w:rPr>
        <w:t>Please could I be provided with a map which shows all the housing sites assessed?</w:t>
      </w:r>
    </w:p>
    <w:p w14:paraId="4C070253" w14:textId="77777777" w:rsidR="000903BB" w:rsidRPr="000903BB" w:rsidRDefault="000903BB" w:rsidP="000903BB">
      <w:pPr>
        <w:rPr>
          <w:rFonts w:asciiTheme="majorHAnsi" w:hAnsiTheme="majorHAnsi"/>
        </w:rPr>
      </w:pPr>
    </w:p>
    <w:p w14:paraId="6BE5053E" w14:textId="5B738F82" w:rsidR="000903BB" w:rsidRDefault="000903BB" w:rsidP="00820AA8">
      <w:pPr>
        <w:pStyle w:val="ListParagraph"/>
        <w:numPr>
          <w:ilvl w:val="0"/>
          <w:numId w:val="6"/>
        </w:numPr>
        <w:rPr>
          <w:rFonts w:asciiTheme="majorHAnsi" w:hAnsiTheme="majorHAnsi"/>
        </w:rPr>
      </w:pPr>
      <w:r>
        <w:rPr>
          <w:rFonts w:asciiTheme="majorHAnsi" w:hAnsiTheme="majorHAnsi"/>
        </w:rPr>
        <w:t>Please provide me with the planning history of the site referred to in a representation as “Site at North End/Hunts Lane”.</w:t>
      </w:r>
    </w:p>
    <w:p w14:paraId="7C9A2CBA" w14:textId="77777777" w:rsidR="006D34E9" w:rsidRPr="006D34E9" w:rsidRDefault="006D34E9" w:rsidP="006D34E9">
      <w:pPr>
        <w:rPr>
          <w:rFonts w:asciiTheme="majorHAnsi" w:hAnsiTheme="majorHAnsi"/>
        </w:rPr>
      </w:pPr>
    </w:p>
    <w:p w14:paraId="5B59EFB4" w14:textId="20F03F51" w:rsidR="00820AA8" w:rsidRPr="00820AA8" w:rsidRDefault="00820AA8" w:rsidP="00820AA8">
      <w:pPr>
        <w:pStyle w:val="ListParagraph"/>
        <w:numPr>
          <w:ilvl w:val="0"/>
          <w:numId w:val="6"/>
        </w:numPr>
        <w:rPr>
          <w:rFonts w:asciiTheme="majorHAnsi" w:hAnsiTheme="majorHAnsi"/>
        </w:rPr>
      </w:pPr>
      <w:r>
        <w:rPr>
          <w:rFonts w:asciiTheme="majorHAnsi" w:hAnsiTheme="majorHAnsi"/>
        </w:rPr>
        <w:t>Policy HBE 6 appears to require market housing should be available for people with a local connection; is this the intention?</w:t>
      </w:r>
    </w:p>
    <w:p w14:paraId="05F677AE" w14:textId="77777777" w:rsidR="00820AA8" w:rsidRDefault="00820AA8" w:rsidP="00820AA8">
      <w:pPr>
        <w:pStyle w:val="ListParagraph"/>
        <w:ind w:left="360"/>
        <w:rPr>
          <w:rFonts w:asciiTheme="majorHAnsi" w:hAnsiTheme="majorHAnsi"/>
        </w:rPr>
      </w:pPr>
    </w:p>
    <w:p w14:paraId="32CCF229" w14:textId="0539EAD0" w:rsidR="002A41F4" w:rsidRPr="002A41F4" w:rsidRDefault="002A41F4" w:rsidP="002A41F4">
      <w:pPr>
        <w:pStyle w:val="ListParagraph"/>
        <w:numPr>
          <w:ilvl w:val="0"/>
          <w:numId w:val="6"/>
        </w:numPr>
        <w:rPr>
          <w:rFonts w:asciiTheme="majorHAnsi" w:hAnsiTheme="majorHAnsi"/>
        </w:rPr>
      </w:pPr>
      <w:r w:rsidRPr="002A41F4">
        <w:rPr>
          <w:rFonts w:asciiTheme="majorHAnsi" w:hAnsiTheme="majorHAnsi"/>
        </w:rPr>
        <w:t>Policy ENV 1 – Appendix 8 indicates the history for Hacluit’s Pond and North E</w:t>
      </w:r>
      <w:r>
        <w:rPr>
          <w:rFonts w:asciiTheme="majorHAnsi" w:hAnsiTheme="majorHAnsi"/>
        </w:rPr>
        <w:t>n</w:t>
      </w:r>
      <w:r w:rsidRPr="002A41F4">
        <w:rPr>
          <w:rFonts w:asciiTheme="majorHAnsi" w:hAnsiTheme="majorHAnsi"/>
        </w:rPr>
        <w:t>d Village Green is included.  I cannot find it.  If this has already been published, please send me a copy.</w:t>
      </w:r>
    </w:p>
    <w:p w14:paraId="7F3DE9A9" w14:textId="77777777" w:rsidR="002A41F4" w:rsidRPr="002A41F4" w:rsidRDefault="002A41F4" w:rsidP="002A41F4">
      <w:pPr>
        <w:pStyle w:val="ListParagraph"/>
        <w:ind w:left="360"/>
        <w:rPr>
          <w:rFonts w:asciiTheme="majorHAnsi" w:hAnsiTheme="majorHAnsi"/>
        </w:rPr>
      </w:pPr>
    </w:p>
    <w:p w14:paraId="25CE29A0" w14:textId="3B07F933" w:rsidR="0029551D" w:rsidRDefault="0029551D" w:rsidP="00DB54E8">
      <w:pPr>
        <w:pStyle w:val="ListParagraph"/>
        <w:numPr>
          <w:ilvl w:val="0"/>
          <w:numId w:val="6"/>
        </w:numPr>
        <w:rPr>
          <w:rFonts w:asciiTheme="majorHAnsi" w:hAnsiTheme="majorHAnsi"/>
        </w:rPr>
      </w:pPr>
      <w:r>
        <w:rPr>
          <w:rFonts w:asciiTheme="majorHAnsi" w:hAnsiTheme="majorHAnsi"/>
        </w:rPr>
        <w:t>Policy ENV 2 identifies a large number of sites across two Figures, 7.1 and 7.2.  The policy relies on Appendix 7 which I find hard to interpret and does not appear to distinguish between the hierarchy o</w:t>
      </w:r>
      <w:r w:rsidR="005A003F">
        <w:rPr>
          <w:rFonts w:asciiTheme="majorHAnsi" w:hAnsiTheme="majorHAnsi"/>
        </w:rPr>
        <w:t>f sites outlined in the NPPF.  Some of the sites are already protected.  I</w:t>
      </w:r>
      <w:r>
        <w:rPr>
          <w:rFonts w:asciiTheme="majorHAnsi" w:hAnsiTheme="majorHAnsi"/>
        </w:rPr>
        <w:t>n addition, on both figures there are various areas with numbers but which are not coloured in.  Please provide a map or maps of the sites subject of the policy and point me in the direction of the evidence to support their identification</w:t>
      </w:r>
      <w:r w:rsidR="005A003F">
        <w:rPr>
          <w:rFonts w:asciiTheme="majorHAnsi" w:hAnsiTheme="majorHAnsi"/>
        </w:rPr>
        <w:t xml:space="preserve"> and a way forward for this policy</w:t>
      </w:r>
      <w:r>
        <w:rPr>
          <w:rFonts w:asciiTheme="majorHAnsi" w:hAnsiTheme="majorHAnsi"/>
        </w:rPr>
        <w:t>.</w:t>
      </w:r>
    </w:p>
    <w:p w14:paraId="68EAEEB2" w14:textId="77777777" w:rsidR="0029551D" w:rsidRPr="0029551D" w:rsidRDefault="0029551D" w:rsidP="0029551D">
      <w:pPr>
        <w:rPr>
          <w:rFonts w:asciiTheme="majorHAnsi" w:hAnsiTheme="majorHAnsi"/>
        </w:rPr>
      </w:pPr>
    </w:p>
    <w:p w14:paraId="0781D184" w14:textId="6C054D60" w:rsidR="0029551D" w:rsidRDefault="00305410" w:rsidP="00DB54E8">
      <w:pPr>
        <w:pStyle w:val="ListParagraph"/>
        <w:numPr>
          <w:ilvl w:val="0"/>
          <w:numId w:val="6"/>
        </w:numPr>
        <w:rPr>
          <w:rFonts w:asciiTheme="majorHAnsi" w:hAnsiTheme="majorHAnsi"/>
        </w:rPr>
      </w:pPr>
      <w:r>
        <w:rPr>
          <w:rFonts w:asciiTheme="majorHAnsi" w:hAnsiTheme="majorHAnsi"/>
        </w:rPr>
        <w:t>Policy ENV 3 – please provide a copy or link to the documents referred to at the bottom of page 35 of the Plan i.e. Local Green Space, Open Spaces Strategy and Provision for Open Space, Sport and Recreation (2015 – 2016).  What status do these documents have?</w:t>
      </w:r>
    </w:p>
    <w:p w14:paraId="1A4F65A9" w14:textId="77777777" w:rsidR="0029551D" w:rsidRPr="0029551D" w:rsidRDefault="0029551D" w:rsidP="0029551D">
      <w:pPr>
        <w:rPr>
          <w:rFonts w:asciiTheme="majorHAnsi" w:hAnsiTheme="majorHAnsi"/>
        </w:rPr>
      </w:pPr>
    </w:p>
    <w:p w14:paraId="27F06A59" w14:textId="241C4917" w:rsidR="0029551D" w:rsidRDefault="008F1C5E" w:rsidP="0029551D">
      <w:pPr>
        <w:pStyle w:val="ListParagraph"/>
        <w:numPr>
          <w:ilvl w:val="0"/>
          <w:numId w:val="6"/>
        </w:numPr>
        <w:rPr>
          <w:rFonts w:asciiTheme="majorHAnsi" w:hAnsiTheme="majorHAnsi"/>
        </w:rPr>
      </w:pPr>
      <w:r>
        <w:rPr>
          <w:rFonts w:asciiTheme="majorHAnsi" w:hAnsiTheme="majorHAnsi"/>
        </w:rPr>
        <w:t xml:space="preserve">Policy ENV 4 seeks to identify non-designated heritage assets.  These are described in Appendix 10, but please explain </w:t>
      </w:r>
      <w:r w:rsidR="000C180E">
        <w:rPr>
          <w:rFonts w:asciiTheme="majorHAnsi" w:hAnsiTheme="majorHAnsi"/>
        </w:rPr>
        <w:t xml:space="preserve">how these they were identified and </w:t>
      </w:r>
      <w:r>
        <w:rPr>
          <w:rFonts w:asciiTheme="majorHAnsi" w:hAnsiTheme="majorHAnsi"/>
        </w:rPr>
        <w:t>what selection criteria were used.</w:t>
      </w:r>
    </w:p>
    <w:p w14:paraId="0E0D622A" w14:textId="77777777" w:rsidR="008F1C5E" w:rsidRPr="008F1C5E" w:rsidRDefault="008F1C5E" w:rsidP="008F1C5E">
      <w:pPr>
        <w:rPr>
          <w:rFonts w:asciiTheme="majorHAnsi" w:hAnsiTheme="majorHAnsi"/>
        </w:rPr>
      </w:pPr>
    </w:p>
    <w:p w14:paraId="1FF32B18" w14:textId="498060B2" w:rsidR="008F1C5E" w:rsidRDefault="001A3E27" w:rsidP="00DB54E8">
      <w:pPr>
        <w:pStyle w:val="ListParagraph"/>
        <w:numPr>
          <w:ilvl w:val="0"/>
          <w:numId w:val="6"/>
        </w:numPr>
        <w:rPr>
          <w:rFonts w:asciiTheme="majorHAnsi" w:hAnsiTheme="majorHAnsi"/>
        </w:rPr>
      </w:pPr>
      <w:r w:rsidRPr="001A3E27">
        <w:rPr>
          <w:rFonts w:asciiTheme="majorHAnsi" w:hAnsiTheme="majorHAnsi"/>
        </w:rPr>
        <w:t>Policy ENV 5 seeks to identify a number of areas of ridge and furrow as non-</w:t>
      </w:r>
      <w:r w:rsidR="00873FE6" w:rsidRPr="001A3E27">
        <w:rPr>
          <w:rFonts w:asciiTheme="majorHAnsi" w:hAnsiTheme="majorHAnsi"/>
        </w:rPr>
        <w:t>designated</w:t>
      </w:r>
      <w:r w:rsidRPr="001A3E27">
        <w:rPr>
          <w:rFonts w:asciiTheme="majorHAnsi" w:hAnsiTheme="majorHAnsi"/>
        </w:rPr>
        <w:t xml:space="preserve"> heritage assets.  Please explain what selection criteria were used.  Should all the areas identified in Figure 11.4 should be identified in the policy or only the highest quality areas perhaps? </w:t>
      </w:r>
    </w:p>
    <w:p w14:paraId="0733319F" w14:textId="77777777" w:rsidR="001A3E27" w:rsidRPr="001A3E27" w:rsidRDefault="001A3E27" w:rsidP="001A3E27">
      <w:pPr>
        <w:rPr>
          <w:rFonts w:asciiTheme="majorHAnsi" w:hAnsiTheme="majorHAnsi"/>
        </w:rPr>
      </w:pPr>
    </w:p>
    <w:p w14:paraId="12C0BD84" w14:textId="2BF69136" w:rsidR="001A3E27" w:rsidRDefault="000C180E" w:rsidP="00DB54E8">
      <w:pPr>
        <w:pStyle w:val="ListParagraph"/>
        <w:numPr>
          <w:ilvl w:val="0"/>
          <w:numId w:val="6"/>
        </w:numPr>
        <w:rPr>
          <w:rFonts w:asciiTheme="majorHAnsi" w:hAnsiTheme="majorHAnsi"/>
        </w:rPr>
      </w:pPr>
      <w:r>
        <w:rPr>
          <w:rFonts w:asciiTheme="majorHAnsi" w:hAnsiTheme="majorHAnsi"/>
        </w:rPr>
        <w:t xml:space="preserve">Policy ENV 6 identifies notable trees shown in Appendix 11.  Please explain how the trees were identified and what the selection criteria are.  Is it necessary to identify those located in </w:t>
      </w:r>
      <w:r>
        <w:rPr>
          <w:rFonts w:asciiTheme="majorHAnsi" w:hAnsiTheme="majorHAnsi"/>
        </w:rPr>
        <w:lastRenderedPageBreak/>
        <w:t xml:space="preserve">the Conservation Area or already with Tree Preservation Orders on them?  What additional benefit would be had from their inclusion in </w:t>
      </w:r>
      <w:r w:rsidR="00873FE6">
        <w:rPr>
          <w:rFonts w:asciiTheme="majorHAnsi" w:hAnsiTheme="majorHAnsi"/>
        </w:rPr>
        <w:t>this</w:t>
      </w:r>
      <w:r>
        <w:rPr>
          <w:rFonts w:asciiTheme="majorHAnsi" w:hAnsiTheme="majorHAnsi"/>
        </w:rPr>
        <w:t xml:space="preserve"> policy?  If none can be identified, please send me a revised list of trees.  Additionally, some hedges are identified in the Appendix; should these be retained in this policy?  Finally, </w:t>
      </w:r>
      <w:r w:rsidR="00656063">
        <w:rPr>
          <w:rFonts w:asciiTheme="majorHAnsi" w:hAnsiTheme="majorHAnsi"/>
        </w:rPr>
        <w:t xml:space="preserve">please clarify the number of trees; the policy indicates 49 but the appendix </w:t>
      </w:r>
      <w:r w:rsidR="00873FE6">
        <w:rPr>
          <w:rFonts w:asciiTheme="majorHAnsi" w:hAnsiTheme="majorHAnsi"/>
        </w:rPr>
        <w:t>details</w:t>
      </w:r>
      <w:r w:rsidR="00656063">
        <w:rPr>
          <w:rFonts w:asciiTheme="majorHAnsi" w:hAnsiTheme="majorHAnsi"/>
        </w:rPr>
        <w:t xml:space="preserve"> more (including 59 and 60 which do not appear to be on Figure 12 in the Plan?).</w:t>
      </w:r>
    </w:p>
    <w:p w14:paraId="268DFFA4" w14:textId="77777777" w:rsidR="00656063" w:rsidRPr="00656063" w:rsidRDefault="00656063" w:rsidP="00656063">
      <w:pPr>
        <w:rPr>
          <w:rFonts w:asciiTheme="majorHAnsi" w:hAnsiTheme="majorHAnsi"/>
        </w:rPr>
      </w:pPr>
    </w:p>
    <w:p w14:paraId="3D4EA84F" w14:textId="786C69E7" w:rsidR="00656063" w:rsidRPr="001A3E27" w:rsidRDefault="00B44FD5" w:rsidP="00DB54E8">
      <w:pPr>
        <w:pStyle w:val="ListParagraph"/>
        <w:numPr>
          <w:ilvl w:val="0"/>
          <w:numId w:val="6"/>
        </w:numPr>
        <w:rPr>
          <w:rFonts w:asciiTheme="majorHAnsi" w:hAnsiTheme="majorHAnsi"/>
        </w:rPr>
      </w:pPr>
      <w:r>
        <w:rPr>
          <w:rFonts w:asciiTheme="majorHAnsi" w:hAnsiTheme="majorHAnsi"/>
        </w:rPr>
        <w:t>Policy ENV 7 includes an area identified as a Local Green Space in Policy ENV 1.  I see a potential conflict here; please explain why there is no conflict</w:t>
      </w:r>
      <w:r w:rsidR="004B6C5E">
        <w:rPr>
          <w:rFonts w:asciiTheme="majorHAnsi" w:hAnsiTheme="majorHAnsi"/>
        </w:rPr>
        <w:t xml:space="preserve"> and/or indicate</w:t>
      </w:r>
      <w:r>
        <w:rPr>
          <w:rFonts w:asciiTheme="majorHAnsi" w:hAnsiTheme="majorHAnsi"/>
        </w:rPr>
        <w:t xml:space="preserve"> which policy </w:t>
      </w:r>
      <w:r w:rsidR="004B6C5E">
        <w:rPr>
          <w:rFonts w:asciiTheme="majorHAnsi" w:hAnsiTheme="majorHAnsi"/>
        </w:rPr>
        <w:t xml:space="preserve">would it be best for </w:t>
      </w:r>
      <w:r>
        <w:rPr>
          <w:rFonts w:asciiTheme="majorHAnsi" w:hAnsiTheme="majorHAnsi"/>
        </w:rPr>
        <w:t>Hare Pie Bank be in?</w:t>
      </w:r>
    </w:p>
    <w:p w14:paraId="25E97406" w14:textId="77777777" w:rsidR="00D537BB" w:rsidRDefault="00D537BB" w:rsidP="00B44FD5">
      <w:pPr>
        <w:pStyle w:val="ListParagraph"/>
        <w:ind w:left="360"/>
        <w:rPr>
          <w:rFonts w:asciiTheme="majorHAnsi" w:hAnsiTheme="majorHAnsi"/>
        </w:rPr>
      </w:pPr>
    </w:p>
    <w:p w14:paraId="0814D317" w14:textId="73D42BDE" w:rsidR="00D537BB" w:rsidRDefault="00963A97" w:rsidP="00DB54E8">
      <w:pPr>
        <w:pStyle w:val="ListParagraph"/>
        <w:numPr>
          <w:ilvl w:val="0"/>
          <w:numId w:val="6"/>
        </w:numPr>
        <w:rPr>
          <w:rFonts w:asciiTheme="majorHAnsi" w:hAnsiTheme="majorHAnsi"/>
        </w:rPr>
      </w:pPr>
      <w:r>
        <w:rPr>
          <w:rFonts w:asciiTheme="majorHAnsi" w:hAnsiTheme="majorHAnsi"/>
        </w:rPr>
        <w:t>Policy ENV 10 is quite specific in some of its requirements.  Please point me in the direction of the explanation for the requirements if already published.</w:t>
      </w:r>
    </w:p>
    <w:p w14:paraId="2DA3E966" w14:textId="77777777" w:rsidR="00963A97" w:rsidRPr="00963A97" w:rsidRDefault="00963A97" w:rsidP="00963A97">
      <w:pPr>
        <w:rPr>
          <w:rFonts w:asciiTheme="majorHAnsi" w:hAnsiTheme="majorHAnsi"/>
        </w:rPr>
      </w:pPr>
    </w:p>
    <w:p w14:paraId="5C95A47D" w14:textId="38291D5F" w:rsidR="00963A97" w:rsidRDefault="00107431" w:rsidP="00DB54E8">
      <w:pPr>
        <w:pStyle w:val="ListParagraph"/>
        <w:numPr>
          <w:ilvl w:val="0"/>
          <w:numId w:val="6"/>
        </w:numPr>
        <w:rPr>
          <w:rFonts w:asciiTheme="majorHAnsi" w:hAnsiTheme="majorHAnsi"/>
        </w:rPr>
      </w:pPr>
      <w:r>
        <w:rPr>
          <w:rFonts w:asciiTheme="majorHAnsi" w:hAnsiTheme="majorHAnsi"/>
        </w:rPr>
        <w:t>Policy ENV 11 refers to views; are these the same views identified in Policy ENV 9 or is the reference general?</w:t>
      </w:r>
    </w:p>
    <w:p w14:paraId="363EA7E6" w14:textId="77777777" w:rsidR="001B2A3C" w:rsidRPr="000903BB" w:rsidRDefault="001B2A3C" w:rsidP="001B2A3C">
      <w:pPr>
        <w:rPr>
          <w:rFonts w:asciiTheme="majorHAnsi" w:hAnsiTheme="majorHAnsi"/>
        </w:rPr>
      </w:pPr>
    </w:p>
    <w:p w14:paraId="47DB46EB" w14:textId="4C2CD867" w:rsidR="000903BB" w:rsidRPr="000903BB" w:rsidRDefault="000903BB" w:rsidP="00DB54E8">
      <w:pPr>
        <w:pStyle w:val="ListParagraph"/>
        <w:numPr>
          <w:ilvl w:val="0"/>
          <w:numId w:val="6"/>
        </w:numPr>
        <w:rPr>
          <w:rFonts w:asciiTheme="majorHAnsi" w:hAnsiTheme="majorHAnsi"/>
        </w:rPr>
      </w:pPr>
      <w:r w:rsidRPr="000903BB">
        <w:rPr>
          <w:rFonts w:asciiTheme="majorHAnsi" w:hAnsiTheme="majorHAnsi"/>
        </w:rPr>
        <w:t>Please could HDC confirm their local requirements in relation to planning applications in respect of design and access statements or similar documents.</w:t>
      </w:r>
    </w:p>
    <w:p w14:paraId="423C79BE" w14:textId="77777777" w:rsidR="000903BB" w:rsidRPr="000903BB" w:rsidRDefault="000903BB" w:rsidP="000903BB">
      <w:pPr>
        <w:rPr>
          <w:rFonts w:asciiTheme="majorHAnsi" w:hAnsiTheme="majorHAnsi"/>
        </w:rPr>
      </w:pPr>
    </w:p>
    <w:p w14:paraId="06C2CE4F" w14:textId="354A0AF8" w:rsidR="00EE7D05" w:rsidRPr="008621D3" w:rsidRDefault="007E640B" w:rsidP="008621D3">
      <w:pPr>
        <w:pStyle w:val="ListParagraph"/>
        <w:numPr>
          <w:ilvl w:val="0"/>
          <w:numId w:val="6"/>
        </w:numPr>
        <w:rPr>
          <w:rFonts w:asciiTheme="majorHAnsi" w:hAnsiTheme="majorHAnsi"/>
        </w:rPr>
      </w:pPr>
      <w:r w:rsidRPr="008621D3">
        <w:rPr>
          <w:rFonts w:asciiTheme="majorHAnsi" w:hAnsiTheme="majorHAnsi"/>
        </w:rPr>
        <w:t>Please could H</w:t>
      </w:r>
      <w:r w:rsidR="00EE7D05" w:rsidRPr="008621D3">
        <w:rPr>
          <w:rFonts w:asciiTheme="majorHAnsi" w:hAnsiTheme="majorHAnsi"/>
        </w:rPr>
        <w:t>DC confirm the number of representations received at Regulation 16 stage?</w:t>
      </w:r>
    </w:p>
    <w:p w14:paraId="27732A94" w14:textId="77777777" w:rsidR="000C67DA" w:rsidRPr="000C67DA" w:rsidRDefault="000C67DA" w:rsidP="000C67DA">
      <w:pPr>
        <w:rPr>
          <w:rFonts w:asciiTheme="majorHAnsi" w:hAnsiTheme="majorHAnsi"/>
          <w:highlight w:val="yellow"/>
        </w:rPr>
      </w:pPr>
    </w:p>
    <w:p w14:paraId="5ADFF91F" w14:textId="7E03922F" w:rsidR="000C67DA" w:rsidRDefault="000C67DA" w:rsidP="000C67DA">
      <w:pPr>
        <w:pStyle w:val="ListParagraph"/>
        <w:numPr>
          <w:ilvl w:val="0"/>
          <w:numId w:val="6"/>
        </w:numPr>
        <w:rPr>
          <w:rFonts w:asciiTheme="majorHAnsi" w:hAnsiTheme="majorHAnsi"/>
        </w:rPr>
      </w:pPr>
      <w:r w:rsidRPr="000903BB">
        <w:rPr>
          <w:rFonts w:asciiTheme="majorHAnsi" w:hAnsiTheme="majorHAnsi"/>
        </w:rPr>
        <w:t xml:space="preserve">Appendix 5 is the Design Guide.  I consider a number of changes are needed to ensure it meets the basic conditions.  </w:t>
      </w:r>
      <w:r>
        <w:rPr>
          <w:rFonts w:asciiTheme="majorHAnsi" w:hAnsiTheme="majorHAnsi"/>
        </w:rPr>
        <w:t xml:space="preserve">This is because it is an important </w:t>
      </w:r>
      <w:r w:rsidR="00873FE6">
        <w:rPr>
          <w:rFonts w:asciiTheme="majorHAnsi" w:hAnsiTheme="majorHAnsi"/>
        </w:rPr>
        <w:t>document</w:t>
      </w:r>
      <w:r>
        <w:rPr>
          <w:rFonts w:asciiTheme="majorHAnsi" w:hAnsiTheme="majorHAnsi"/>
        </w:rPr>
        <w:t xml:space="preserve"> in relation to Policy HBE 1, but it includes a number of statements and policy requirements which should be deleted as the document is not policy.  </w:t>
      </w:r>
      <w:r w:rsidRPr="000903BB">
        <w:rPr>
          <w:rFonts w:asciiTheme="majorHAnsi" w:hAnsiTheme="majorHAnsi"/>
        </w:rPr>
        <w:t xml:space="preserve">Please could I be provided with a word document version of it to enable me to make track changes so I can then forward it to you.  This is </w:t>
      </w:r>
      <w:r>
        <w:rPr>
          <w:rFonts w:asciiTheme="majorHAnsi" w:hAnsiTheme="majorHAnsi"/>
        </w:rPr>
        <w:t xml:space="preserve">then </w:t>
      </w:r>
      <w:r w:rsidRPr="000903BB">
        <w:rPr>
          <w:rFonts w:asciiTheme="majorHAnsi" w:hAnsiTheme="majorHAnsi"/>
        </w:rPr>
        <w:t>likely to require a short period of further consul</w:t>
      </w:r>
      <w:r>
        <w:rPr>
          <w:rFonts w:asciiTheme="majorHAnsi" w:hAnsiTheme="majorHAnsi"/>
        </w:rPr>
        <w:t>t</w:t>
      </w:r>
      <w:r w:rsidRPr="000903BB">
        <w:rPr>
          <w:rFonts w:asciiTheme="majorHAnsi" w:hAnsiTheme="majorHAnsi"/>
        </w:rPr>
        <w:t xml:space="preserve">ation </w:t>
      </w:r>
      <w:r w:rsidR="00092697">
        <w:rPr>
          <w:rFonts w:asciiTheme="majorHAnsi" w:hAnsiTheme="majorHAnsi"/>
        </w:rPr>
        <w:t xml:space="preserve">(depending on my intended modifications) </w:t>
      </w:r>
      <w:bookmarkStart w:id="0" w:name="_GoBack"/>
      <w:bookmarkEnd w:id="0"/>
      <w:r w:rsidRPr="000903BB">
        <w:rPr>
          <w:rFonts w:asciiTheme="majorHAnsi" w:hAnsiTheme="majorHAnsi"/>
        </w:rPr>
        <w:t xml:space="preserve">to allow all </w:t>
      </w:r>
      <w:r w:rsidR="00873FE6" w:rsidRPr="000903BB">
        <w:rPr>
          <w:rFonts w:asciiTheme="majorHAnsi" w:hAnsiTheme="majorHAnsi"/>
        </w:rPr>
        <w:t>parties</w:t>
      </w:r>
      <w:r w:rsidRPr="000903BB">
        <w:rPr>
          <w:rFonts w:asciiTheme="majorHAnsi" w:hAnsiTheme="majorHAnsi"/>
        </w:rPr>
        <w:t xml:space="preserve"> to make any comments.</w:t>
      </w:r>
    </w:p>
    <w:p w14:paraId="7355460B" w14:textId="77777777" w:rsidR="000C67DA" w:rsidRPr="000C67DA" w:rsidRDefault="000C67DA" w:rsidP="000C67DA">
      <w:pPr>
        <w:rPr>
          <w:rFonts w:asciiTheme="majorHAnsi" w:hAnsiTheme="majorHAnsi"/>
        </w:rPr>
      </w:pPr>
    </w:p>
    <w:p w14:paraId="458751AD" w14:textId="3D1A113E" w:rsidR="000C67DA" w:rsidRPr="000903BB" w:rsidRDefault="000C67DA" w:rsidP="000C67DA">
      <w:pPr>
        <w:pStyle w:val="ListParagraph"/>
        <w:numPr>
          <w:ilvl w:val="0"/>
          <w:numId w:val="6"/>
        </w:numPr>
        <w:rPr>
          <w:rFonts w:asciiTheme="majorHAnsi" w:hAnsiTheme="majorHAnsi"/>
        </w:rPr>
      </w:pPr>
      <w:r>
        <w:rPr>
          <w:rFonts w:asciiTheme="majorHAnsi" w:hAnsiTheme="majorHAnsi"/>
        </w:rPr>
        <w:t>Finally, I confirm that the Parish Council has been given an opportunity to comment on all or any of the representations made at Regulation 16 stage.  Please could any comments the Parish Council wish to make are sent to me by the date in this note and questions of clarification.</w:t>
      </w:r>
    </w:p>
    <w:p w14:paraId="388D89EE" w14:textId="77777777" w:rsidR="003F48CE" w:rsidRDefault="003F48CE" w:rsidP="002E3BAB">
      <w:pPr>
        <w:pStyle w:val="Default"/>
        <w:rPr>
          <w:rFonts w:asciiTheme="majorHAnsi" w:hAnsiTheme="majorHAnsi"/>
          <w:bCs/>
        </w:rPr>
      </w:pPr>
    </w:p>
    <w:p w14:paraId="3D926434" w14:textId="46778E8B" w:rsidR="00660AA0" w:rsidRDefault="002E3BAB" w:rsidP="002E3BAB">
      <w:pPr>
        <w:pStyle w:val="Default"/>
        <w:rPr>
          <w:rFonts w:asciiTheme="majorHAnsi" w:hAnsiTheme="majorHAnsi"/>
          <w:bCs/>
        </w:rPr>
      </w:pPr>
      <w:r w:rsidRPr="00B45FE8">
        <w:rPr>
          <w:rFonts w:asciiTheme="majorHAnsi" w:hAnsiTheme="majorHAnsi"/>
          <w:bCs/>
        </w:rPr>
        <w:t xml:space="preserve">It may be the case that on receipt of your anticipated assistance on these </w:t>
      </w:r>
      <w:r>
        <w:rPr>
          <w:rFonts w:asciiTheme="majorHAnsi" w:hAnsiTheme="majorHAnsi"/>
          <w:bCs/>
        </w:rPr>
        <w:t xml:space="preserve">matters </w:t>
      </w:r>
      <w:r w:rsidRPr="00B45FE8">
        <w:rPr>
          <w:rFonts w:asciiTheme="majorHAnsi" w:hAnsiTheme="majorHAnsi"/>
          <w:bCs/>
        </w:rPr>
        <w:t>that I may need to ask for further clarification or that further queries will</w:t>
      </w:r>
      <w:r>
        <w:rPr>
          <w:rFonts w:asciiTheme="majorHAnsi" w:hAnsiTheme="majorHAnsi"/>
          <w:bCs/>
        </w:rPr>
        <w:t xml:space="preserve"> occur as the examination progresses</w:t>
      </w:r>
      <w:r w:rsidRPr="00B45FE8">
        <w:rPr>
          <w:rFonts w:asciiTheme="majorHAnsi" w:hAnsiTheme="majorHAnsi"/>
          <w:bCs/>
        </w:rPr>
        <w:t>.</w:t>
      </w:r>
      <w:r w:rsidR="00761479">
        <w:rPr>
          <w:rFonts w:asciiTheme="majorHAnsi" w:hAnsiTheme="majorHAnsi"/>
          <w:bCs/>
        </w:rPr>
        <w:t xml:space="preserve">  </w:t>
      </w:r>
      <w:r w:rsidR="00660AA0">
        <w:rPr>
          <w:rFonts w:asciiTheme="majorHAnsi" w:hAnsiTheme="majorHAnsi"/>
          <w:bCs/>
        </w:rPr>
        <w:t>These queries are raised without prejudice to the outcome of the examination.</w:t>
      </w:r>
    </w:p>
    <w:p w14:paraId="1398A5A6" w14:textId="77777777" w:rsidR="00660AA0" w:rsidRDefault="00660AA0" w:rsidP="002E3BAB">
      <w:pPr>
        <w:pStyle w:val="Default"/>
        <w:rPr>
          <w:rFonts w:asciiTheme="majorHAnsi" w:hAnsiTheme="majorHAnsi"/>
          <w:bCs/>
        </w:rPr>
      </w:pPr>
    </w:p>
    <w:p w14:paraId="4A557C2C" w14:textId="2EBC9479" w:rsidR="002E3BAB" w:rsidRPr="00727737" w:rsidRDefault="002E3BAB" w:rsidP="002E3BAB">
      <w:pPr>
        <w:pStyle w:val="Default"/>
        <w:rPr>
          <w:rFonts w:asciiTheme="majorHAnsi" w:hAnsiTheme="majorHAnsi"/>
        </w:rPr>
      </w:pPr>
      <w:r>
        <w:rPr>
          <w:rFonts w:asciiTheme="majorHAnsi" w:hAnsiTheme="majorHAnsi"/>
          <w:bCs/>
        </w:rPr>
        <w:t>Please note that this list of clarification questions is a public document and that your answers will also be in the public domain.  Both my questions and your responses should be placed on the Councils’ websites as appropriate.</w:t>
      </w:r>
      <w:r w:rsidRPr="00B45FE8">
        <w:rPr>
          <w:rFonts w:asciiTheme="majorHAnsi" w:hAnsiTheme="majorHAnsi"/>
          <w:bCs/>
        </w:rPr>
        <w:t xml:space="preserve">  </w:t>
      </w:r>
    </w:p>
    <w:p w14:paraId="4E4B0157" w14:textId="77777777" w:rsidR="00577441" w:rsidRDefault="00577441" w:rsidP="00826484">
      <w:pPr>
        <w:pStyle w:val="Default"/>
        <w:rPr>
          <w:rFonts w:asciiTheme="majorHAnsi" w:hAnsiTheme="majorHAnsi"/>
          <w:bCs/>
        </w:rPr>
      </w:pPr>
    </w:p>
    <w:p w14:paraId="0BDA7DEC" w14:textId="34C66510" w:rsidR="00A77998" w:rsidRDefault="002E3BAB" w:rsidP="00B45FE8">
      <w:pPr>
        <w:pStyle w:val="Default"/>
        <w:rPr>
          <w:rFonts w:asciiTheme="majorHAnsi" w:hAnsiTheme="majorHAnsi"/>
          <w:bCs/>
        </w:rPr>
      </w:pPr>
      <w:r>
        <w:rPr>
          <w:rFonts w:asciiTheme="majorHAnsi" w:hAnsiTheme="majorHAnsi"/>
          <w:bCs/>
        </w:rPr>
        <w:t>With many thanks</w:t>
      </w:r>
      <w:r w:rsidR="00761479">
        <w:rPr>
          <w:rFonts w:asciiTheme="majorHAnsi" w:hAnsiTheme="majorHAnsi"/>
          <w:bCs/>
        </w:rPr>
        <w:t xml:space="preserve">, </w:t>
      </w:r>
    </w:p>
    <w:p w14:paraId="3383F70E" w14:textId="77777777" w:rsidR="00D73BAF" w:rsidRDefault="00D73BAF" w:rsidP="00B45FE8">
      <w:pPr>
        <w:pStyle w:val="Default"/>
        <w:rPr>
          <w:rFonts w:asciiTheme="majorHAnsi" w:hAnsiTheme="majorHAnsi"/>
          <w:bCs/>
        </w:rPr>
      </w:pPr>
    </w:p>
    <w:p w14:paraId="18A4AC86" w14:textId="77777777" w:rsidR="00CC0947" w:rsidRPr="00736388" w:rsidRDefault="00CC0947" w:rsidP="00B45FE8">
      <w:pPr>
        <w:pStyle w:val="Default"/>
        <w:rPr>
          <w:rFonts w:asciiTheme="majorHAnsi" w:hAnsiTheme="majorHAnsi"/>
          <w:bCs/>
        </w:rPr>
      </w:pPr>
    </w:p>
    <w:p w14:paraId="377C49A6" w14:textId="581D8F6A" w:rsidR="00F34F4F" w:rsidRDefault="009E7683" w:rsidP="00B45FE8">
      <w:pPr>
        <w:pStyle w:val="Default"/>
        <w:rPr>
          <w:rFonts w:asciiTheme="majorHAnsi" w:hAnsiTheme="majorHAnsi"/>
        </w:rPr>
      </w:pPr>
      <w:r>
        <w:rPr>
          <w:rFonts w:asciiTheme="majorHAnsi" w:hAnsiTheme="majorHAnsi"/>
        </w:rPr>
        <w:t>Ann Skippers</w:t>
      </w:r>
      <w:r w:rsidR="00B45FE8">
        <w:rPr>
          <w:rFonts w:asciiTheme="majorHAnsi" w:hAnsiTheme="majorHAnsi"/>
        </w:rPr>
        <w:t xml:space="preserve"> </w:t>
      </w:r>
      <w:r w:rsidR="00A77998">
        <w:rPr>
          <w:rFonts w:asciiTheme="majorHAnsi" w:hAnsiTheme="majorHAnsi"/>
        </w:rPr>
        <w:t>MRTPI</w:t>
      </w:r>
    </w:p>
    <w:p w14:paraId="5B44BB75" w14:textId="77777777" w:rsidR="00F34F4F" w:rsidRDefault="00F34F4F" w:rsidP="00B45FE8">
      <w:pPr>
        <w:pStyle w:val="Default"/>
        <w:rPr>
          <w:rFonts w:asciiTheme="majorHAnsi" w:hAnsiTheme="majorHAnsi"/>
        </w:rPr>
      </w:pPr>
      <w:r>
        <w:rPr>
          <w:rFonts w:asciiTheme="majorHAnsi" w:hAnsiTheme="majorHAnsi"/>
        </w:rPr>
        <w:t>Independent Examiner</w:t>
      </w:r>
    </w:p>
    <w:p w14:paraId="6DE7A164" w14:textId="22908DD0" w:rsidR="000268C4" w:rsidRPr="005A788A" w:rsidRDefault="000C67DA" w:rsidP="00B45FE8">
      <w:pPr>
        <w:pStyle w:val="Default"/>
        <w:rPr>
          <w:rFonts w:asciiTheme="majorHAnsi" w:hAnsiTheme="majorHAnsi"/>
          <w:bCs/>
        </w:rPr>
      </w:pPr>
      <w:r>
        <w:rPr>
          <w:rFonts w:asciiTheme="majorHAnsi" w:hAnsiTheme="majorHAnsi"/>
        </w:rPr>
        <w:t>29</w:t>
      </w:r>
      <w:r w:rsidR="00D537BB">
        <w:rPr>
          <w:rFonts w:asciiTheme="majorHAnsi" w:hAnsiTheme="majorHAnsi"/>
        </w:rPr>
        <w:t xml:space="preserve"> September</w:t>
      </w:r>
      <w:r w:rsidR="00A77998">
        <w:rPr>
          <w:rFonts w:asciiTheme="majorHAnsi" w:hAnsiTheme="majorHAnsi"/>
        </w:rPr>
        <w:t xml:space="preserve"> </w:t>
      </w:r>
      <w:r w:rsidR="00F34F4F">
        <w:rPr>
          <w:rFonts w:asciiTheme="majorHAnsi" w:hAnsiTheme="majorHAnsi"/>
        </w:rPr>
        <w:t xml:space="preserve">2020 </w:t>
      </w:r>
    </w:p>
    <w:sectPr w:rsidR="000268C4" w:rsidRPr="005A788A" w:rsidSect="004E1E6B">
      <w:pgSz w:w="11900" w:h="16840"/>
      <w:pgMar w:top="1077" w:right="1134" w:bottom="907" w:left="130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E3D5F" w14:textId="77777777" w:rsidR="00EE7D05" w:rsidRDefault="00EE7D05" w:rsidP="00A74CB8">
      <w:r>
        <w:separator/>
      </w:r>
    </w:p>
  </w:endnote>
  <w:endnote w:type="continuationSeparator" w:id="0">
    <w:p w14:paraId="7CD549E0" w14:textId="77777777" w:rsidR="00EE7D05" w:rsidRDefault="00EE7D05" w:rsidP="00A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BFA5E" w14:textId="77777777" w:rsidR="00EE7D05" w:rsidRDefault="00EE7D05" w:rsidP="00A74CB8">
      <w:r>
        <w:separator/>
      </w:r>
    </w:p>
  </w:footnote>
  <w:footnote w:type="continuationSeparator" w:id="0">
    <w:p w14:paraId="6A225F4A" w14:textId="77777777" w:rsidR="00EE7D05" w:rsidRDefault="00EE7D05" w:rsidP="00A74C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619D"/>
    <w:multiLevelType w:val="hybridMultilevel"/>
    <w:tmpl w:val="CE4262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FF4BDA"/>
    <w:multiLevelType w:val="hybridMultilevel"/>
    <w:tmpl w:val="7D0234A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349F3"/>
    <w:multiLevelType w:val="hybridMultilevel"/>
    <w:tmpl w:val="4DCAC53C"/>
    <w:lvl w:ilvl="0" w:tplc="730E3B4A">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EE7F18"/>
    <w:multiLevelType w:val="hybridMultilevel"/>
    <w:tmpl w:val="8B00FA00"/>
    <w:lvl w:ilvl="0" w:tplc="8B84D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683742"/>
    <w:multiLevelType w:val="hybridMultilevel"/>
    <w:tmpl w:val="504E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91C64"/>
    <w:multiLevelType w:val="hybridMultilevel"/>
    <w:tmpl w:val="D732199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270E2E"/>
    <w:multiLevelType w:val="hybridMultilevel"/>
    <w:tmpl w:val="E610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A63AA"/>
    <w:multiLevelType w:val="hybridMultilevel"/>
    <w:tmpl w:val="542473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EE2876"/>
    <w:multiLevelType w:val="hybridMultilevel"/>
    <w:tmpl w:val="31F29D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A23D6"/>
    <w:multiLevelType w:val="hybridMultilevel"/>
    <w:tmpl w:val="EE0CC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57536"/>
    <w:multiLevelType w:val="hybridMultilevel"/>
    <w:tmpl w:val="48542AC2"/>
    <w:lvl w:ilvl="0" w:tplc="ADBA2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F306B"/>
    <w:multiLevelType w:val="hybridMultilevel"/>
    <w:tmpl w:val="A27E41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0B211D"/>
    <w:multiLevelType w:val="hybridMultilevel"/>
    <w:tmpl w:val="38A45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121AA1"/>
    <w:multiLevelType w:val="hybridMultilevel"/>
    <w:tmpl w:val="82707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FE598D"/>
    <w:multiLevelType w:val="hybridMultilevel"/>
    <w:tmpl w:val="0FB4D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E147E5"/>
    <w:multiLevelType w:val="hybridMultilevel"/>
    <w:tmpl w:val="B06A4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F6757B"/>
    <w:multiLevelType w:val="hybridMultilevel"/>
    <w:tmpl w:val="BC3605AC"/>
    <w:lvl w:ilvl="0" w:tplc="3F448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FD0D40"/>
    <w:multiLevelType w:val="hybridMultilevel"/>
    <w:tmpl w:val="094AD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0B6D53"/>
    <w:multiLevelType w:val="hybridMultilevel"/>
    <w:tmpl w:val="CDE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E15514"/>
    <w:multiLevelType w:val="hybridMultilevel"/>
    <w:tmpl w:val="0F66FE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B7393C"/>
    <w:multiLevelType w:val="hybridMultilevel"/>
    <w:tmpl w:val="8E143E32"/>
    <w:lvl w:ilvl="0" w:tplc="71F2D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1062EE"/>
    <w:multiLevelType w:val="hybridMultilevel"/>
    <w:tmpl w:val="091C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E17829"/>
    <w:multiLevelType w:val="hybridMultilevel"/>
    <w:tmpl w:val="B91C0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821BDD"/>
    <w:multiLevelType w:val="hybridMultilevel"/>
    <w:tmpl w:val="4F5A85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22"/>
  </w:num>
  <w:num w:numId="5">
    <w:abstractNumId w:val="9"/>
  </w:num>
  <w:num w:numId="6">
    <w:abstractNumId w:val="19"/>
  </w:num>
  <w:num w:numId="7">
    <w:abstractNumId w:val="3"/>
  </w:num>
  <w:num w:numId="8">
    <w:abstractNumId w:val="14"/>
  </w:num>
  <w:num w:numId="9">
    <w:abstractNumId w:val="23"/>
  </w:num>
  <w:num w:numId="10">
    <w:abstractNumId w:val="12"/>
  </w:num>
  <w:num w:numId="11">
    <w:abstractNumId w:val="18"/>
  </w:num>
  <w:num w:numId="12">
    <w:abstractNumId w:val="15"/>
  </w:num>
  <w:num w:numId="13">
    <w:abstractNumId w:val="17"/>
  </w:num>
  <w:num w:numId="14">
    <w:abstractNumId w:val="4"/>
  </w:num>
  <w:num w:numId="15">
    <w:abstractNumId w:val="7"/>
  </w:num>
  <w:num w:numId="16">
    <w:abstractNumId w:val="21"/>
  </w:num>
  <w:num w:numId="17">
    <w:abstractNumId w:val="13"/>
  </w:num>
  <w:num w:numId="18">
    <w:abstractNumId w:val="16"/>
  </w:num>
  <w:num w:numId="19">
    <w:abstractNumId w:val="20"/>
  </w:num>
  <w:num w:numId="20">
    <w:abstractNumId w:val="10"/>
  </w:num>
  <w:num w:numId="21">
    <w:abstractNumId w:val="11"/>
  </w:num>
  <w:num w:numId="22">
    <w:abstractNumId w:val="8"/>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84"/>
    <w:rsid w:val="00003637"/>
    <w:rsid w:val="00003AC5"/>
    <w:rsid w:val="00014131"/>
    <w:rsid w:val="00014AC9"/>
    <w:rsid w:val="000209CA"/>
    <w:rsid w:val="00021AD3"/>
    <w:rsid w:val="00021B4E"/>
    <w:rsid w:val="00023ECB"/>
    <w:rsid w:val="000268C4"/>
    <w:rsid w:val="00033657"/>
    <w:rsid w:val="00045B4C"/>
    <w:rsid w:val="00052480"/>
    <w:rsid w:val="00055240"/>
    <w:rsid w:val="0006076C"/>
    <w:rsid w:val="00065D5F"/>
    <w:rsid w:val="00066023"/>
    <w:rsid w:val="00070586"/>
    <w:rsid w:val="00073953"/>
    <w:rsid w:val="00073DFB"/>
    <w:rsid w:val="000774A6"/>
    <w:rsid w:val="00077A95"/>
    <w:rsid w:val="00085CCB"/>
    <w:rsid w:val="000903BB"/>
    <w:rsid w:val="00092697"/>
    <w:rsid w:val="000A3D86"/>
    <w:rsid w:val="000A4C3E"/>
    <w:rsid w:val="000A7C2A"/>
    <w:rsid w:val="000B10B4"/>
    <w:rsid w:val="000B6C3D"/>
    <w:rsid w:val="000C0F89"/>
    <w:rsid w:val="000C180E"/>
    <w:rsid w:val="000C1F60"/>
    <w:rsid w:val="000C67DA"/>
    <w:rsid w:val="000D14C5"/>
    <w:rsid w:val="000D2961"/>
    <w:rsid w:val="000D2E47"/>
    <w:rsid w:val="000E10C5"/>
    <w:rsid w:val="000E440B"/>
    <w:rsid w:val="000E641B"/>
    <w:rsid w:val="000F6F62"/>
    <w:rsid w:val="000F7D3F"/>
    <w:rsid w:val="00100475"/>
    <w:rsid w:val="00107431"/>
    <w:rsid w:val="00115EC6"/>
    <w:rsid w:val="00135436"/>
    <w:rsid w:val="00135D06"/>
    <w:rsid w:val="00140681"/>
    <w:rsid w:val="001443A2"/>
    <w:rsid w:val="00155ECE"/>
    <w:rsid w:val="00166C4E"/>
    <w:rsid w:val="00176F2C"/>
    <w:rsid w:val="0018420F"/>
    <w:rsid w:val="00185777"/>
    <w:rsid w:val="001872A1"/>
    <w:rsid w:val="00191C87"/>
    <w:rsid w:val="00194EBB"/>
    <w:rsid w:val="001A2832"/>
    <w:rsid w:val="001A3568"/>
    <w:rsid w:val="001A3E27"/>
    <w:rsid w:val="001A4E81"/>
    <w:rsid w:val="001B019D"/>
    <w:rsid w:val="001B1A35"/>
    <w:rsid w:val="001B2A3C"/>
    <w:rsid w:val="001B5D51"/>
    <w:rsid w:val="001C1358"/>
    <w:rsid w:val="001E3334"/>
    <w:rsid w:val="001E472C"/>
    <w:rsid w:val="001E49D2"/>
    <w:rsid w:val="001E5C3B"/>
    <w:rsid w:val="001E6B77"/>
    <w:rsid w:val="002160F6"/>
    <w:rsid w:val="00217933"/>
    <w:rsid w:val="00220B21"/>
    <w:rsid w:val="00220FDF"/>
    <w:rsid w:val="00222DF2"/>
    <w:rsid w:val="00225870"/>
    <w:rsid w:val="0022601D"/>
    <w:rsid w:val="00230E7B"/>
    <w:rsid w:val="002337A6"/>
    <w:rsid w:val="002338E0"/>
    <w:rsid w:val="00236C2C"/>
    <w:rsid w:val="0024340B"/>
    <w:rsid w:val="0024689F"/>
    <w:rsid w:val="00246DD9"/>
    <w:rsid w:val="00251803"/>
    <w:rsid w:val="00266B3E"/>
    <w:rsid w:val="00267AC8"/>
    <w:rsid w:val="002736DD"/>
    <w:rsid w:val="00277E26"/>
    <w:rsid w:val="002827F7"/>
    <w:rsid w:val="00284D62"/>
    <w:rsid w:val="00285610"/>
    <w:rsid w:val="0029506C"/>
    <w:rsid w:val="0029551D"/>
    <w:rsid w:val="00297BC1"/>
    <w:rsid w:val="002A2EE3"/>
    <w:rsid w:val="002A41F4"/>
    <w:rsid w:val="002A547F"/>
    <w:rsid w:val="002B2CD6"/>
    <w:rsid w:val="002B2DA3"/>
    <w:rsid w:val="002B51A3"/>
    <w:rsid w:val="002D2C7A"/>
    <w:rsid w:val="002D4838"/>
    <w:rsid w:val="002E3BAB"/>
    <w:rsid w:val="002E4979"/>
    <w:rsid w:val="002F3BA2"/>
    <w:rsid w:val="00305410"/>
    <w:rsid w:val="003055CF"/>
    <w:rsid w:val="00305761"/>
    <w:rsid w:val="00311C34"/>
    <w:rsid w:val="00313D89"/>
    <w:rsid w:val="0031419F"/>
    <w:rsid w:val="003142A4"/>
    <w:rsid w:val="003145B2"/>
    <w:rsid w:val="00315580"/>
    <w:rsid w:val="00320400"/>
    <w:rsid w:val="00322FF0"/>
    <w:rsid w:val="00324E5D"/>
    <w:rsid w:val="0033211D"/>
    <w:rsid w:val="0034270D"/>
    <w:rsid w:val="00343FB4"/>
    <w:rsid w:val="003448F0"/>
    <w:rsid w:val="00355BF7"/>
    <w:rsid w:val="00361233"/>
    <w:rsid w:val="003747DB"/>
    <w:rsid w:val="00392CC7"/>
    <w:rsid w:val="003941DF"/>
    <w:rsid w:val="003A0B6D"/>
    <w:rsid w:val="003A3DFD"/>
    <w:rsid w:val="003B7A5B"/>
    <w:rsid w:val="003C010B"/>
    <w:rsid w:val="003D1528"/>
    <w:rsid w:val="003D16B1"/>
    <w:rsid w:val="003D4495"/>
    <w:rsid w:val="003D6DA0"/>
    <w:rsid w:val="003E4AB8"/>
    <w:rsid w:val="003F48CE"/>
    <w:rsid w:val="00403957"/>
    <w:rsid w:val="004108CC"/>
    <w:rsid w:val="00417497"/>
    <w:rsid w:val="00417685"/>
    <w:rsid w:val="004176B7"/>
    <w:rsid w:val="0043207D"/>
    <w:rsid w:val="00443167"/>
    <w:rsid w:val="00445A44"/>
    <w:rsid w:val="00447FC3"/>
    <w:rsid w:val="00460FE1"/>
    <w:rsid w:val="00464FBD"/>
    <w:rsid w:val="00473864"/>
    <w:rsid w:val="00485E43"/>
    <w:rsid w:val="00494C1E"/>
    <w:rsid w:val="00497483"/>
    <w:rsid w:val="004A48CA"/>
    <w:rsid w:val="004A52A7"/>
    <w:rsid w:val="004B0C58"/>
    <w:rsid w:val="004B3D43"/>
    <w:rsid w:val="004B5021"/>
    <w:rsid w:val="004B6C5E"/>
    <w:rsid w:val="004B7B4E"/>
    <w:rsid w:val="004D4B94"/>
    <w:rsid w:val="004E1E6B"/>
    <w:rsid w:val="004E397C"/>
    <w:rsid w:val="004E4096"/>
    <w:rsid w:val="004E517F"/>
    <w:rsid w:val="004F4212"/>
    <w:rsid w:val="00504074"/>
    <w:rsid w:val="005041F7"/>
    <w:rsid w:val="00515457"/>
    <w:rsid w:val="00515C11"/>
    <w:rsid w:val="00516D0E"/>
    <w:rsid w:val="005234A4"/>
    <w:rsid w:val="005301E6"/>
    <w:rsid w:val="0053198D"/>
    <w:rsid w:val="00533FB3"/>
    <w:rsid w:val="00537921"/>
    <w:rsid w:val="005432C1"/>
    <w:rsid w:val="005460DC"/>
    <w:rsid w:val="00547C7E"/>
    <w:rsid w:val="0055321E"/>
    <w:rsid w:val="0056053E"/>
    <w:rsid w:val="0056176F"/>
    <w:rsid w:val="005658B6"/>
    <w:rsid w:val="00570992"/>
    <w:rsid w:val="00577441"/>
    <w:rsid w:val="00581AA0"/>
    <w:rsid w:val="00583477"/>
    <w:rsid w:val="00591E71"/>
    <w:rsid w:val="00596965"/>
    <w:rsid w:val="005A003F"/>
    <w:rsid w:val="005A476E"/>
    <w:rsid w:val="005A788A"/>
    <w:rsid w:val="005C0111"/>
    <w:rsid w:val="005C780D"/>
    <w:rsid w:val="005D49AC"/>
    <w:rsid w:val="005D7154"/>
    <w:rsid w:val="005E2A0E"/>
    <w:rsid w:val="005F1769"/>
    <w:rsid w:val="005F3F86"/>
    <w:rsid w:val="005F6897"/>
    <w:rsid w:val="005F6D24"/>
    <w:rsid w:val="00604EDF"/>
    <w:rsid w:val="00605EC1"/>
    <w:rsid w:val="00616A9C"/>
    <w:rsid w:val="00623A09"/>
    <w:rsid w:val="00627605"/>
    <w:rsid w:val="00630436"/>
    <w:rsid w:val="00631D17"/>
    <w:rsid w:val="00632D5C"/>
    <w:rsid w:val="006365FE"/>
    <w:rsid w:val="00641D40"/>
    <w:rsid w:val="00642D91"/>
    <w:rsid w:val="00656063"/>
    <w:rsid w:val="00660AA0"/>
    <w:rsid w:val="00660FEB"/>
    <w:rsid w:val="006613CA"/>
    <w:rsid w:val="00670B7B"/>
    <w:rsid w:val="00671C8F"/>
    <w:rsid w:val="00675083"/>
    <w:rsid w:val="00681C32"/>
    <w:rsid w:val="0068365B"/>
    <w:rsid w:val="00684063"/>
    <w:rsid w:val="00692BCA"/>
    <w:rsid w:val="006A4A1F"/>
    <w:rsid w:val="006B386C"/>
    <w:rsid w:val="006B3FB8"/>
    <w:rsid w:val="006B5080"/>
    <w:rsid w:val="006B7E25"/>
    <w:rsid w:val="006C42FC"/>
    <w:rsid w:val="006D34E9"/>
    <w:rsid w:val="006F4CF5"/>
    <w:rsid w:val="00707069"/>
    <w:rsid w:val="00710259"/>
    <w:rsid w:val="00712067"/>
    <w:rsid w:val="00720B74"/>
    <w:rsid w:val="007215F9"/>
    <w:rsid w:val="00723FE7"/>
    <w:rsid w:val="00724F4E"/>
    <w:rsid w:val="00730FE7"/>
    <w:rsid w:val="00736388"/>
    <w:rsid w:val="00736701"/>
    <w:rsid w:val="00742C64"/>
    <w:rsid w:val="00744E98"/>
    <w:rsid w:val="0074632C"/>
    <w:rsid w:val="0075033F"/>
    <w:rsid w:val="0075438E"/>
    <w:rsid w:val="00760E08"/>
    <w:rsid w:val="00761479"/>
    <w:rsid w:val="007651E2"/>
    <w:rsid w:val="007673C5"/>
    <w:rsid w:val="00770FD4"/>
    <w:rsid w:val="007767CB"/>
    <w:rsid w:val="007800B9"/>
    <w:rsid w:val="0078505B"/>
    <w:rsid w:val="00790EE9"/>
    <w:rsid w:val="00790F92"/>
    <w:rsid w:val="00794A44"/>
    <w:rsid w:val="00796E76"/>
    <w:rsid w:val="007A08F7"/>
    <w:rsid w:val="007A4059"/>
    <w:rsid w:val="007A6241"/>
    <w:rsid w:val="007A6AE5"/>
    <w:rsid w:val="007B040E"/>
    <w:rsid w:val="007B22E5"/>
    <w:rsid w:val="007B5F20"/>
    <w:rsid w:val="007D2DF7"/>
    <w:rsid w:val="007E01E2"/>
    <w:rsid w:val="007E640B"/>
    <w:rsid w:val="007F5DDC"/>
    <w:rsid w:val="007F6D2D"/>
    <w:rsid w:val="007F72C4"/>
    <w:rsid w:val="00806552"/>
    <w:rsid w:val="00820AA8"/>
    <w:rsid w:val="0082128B"/>
    <w:rsid w:val="008212BA"/>
    <w:rsid w:val="008233D4"/>
    <w:rsid w:val="0082593F"/>
    <w:rsid w:val="00826484"/>
    <w:rsid w:val="0084342D"/>
    <w:rsid w:val="00847788"/>
    <w:rsid w:val="00850343"/>
    <w:rsid w:val="008578AE"/>
    <w:rsid w:val="0086063E"/>
    <w:rsid w:val="008621D3"/>
    <w:rsid w:val="008635D2"/>
    <w:rsid w:val="00872585"/>
    <w:rsid w:val="00872A4C"/>
    <w:rsid w:val="00873FE6"/>
    <w:rsid w:val="00880E1F"/>
    <w:rsid w:val="00885084"/>
    <w:rsid w:val="0088753A"/>
    <w:rsid w:val="0089002F"/>
    <w:rsid w:val="0089626F"/>
    <w:rsid w:val="008A31C5"/>
    <w:rsid w:val="008B4A07"/>
    <w:rsid w:val="008C48F9"/>
    <w:rsid w:val="008D2FBD"/>
    <w:rsid w:val="008D6925"/>
    <w:rsid w:val="008D6F58"/>
    <w:rsid w:val="008E6598"/>
    <w:rsid w:val="008F1C5E"/>
    <w:rsid w:val="008F3C28"/>
    <w:rsid w:val="008F7AC0"/>
    <w:rsid w:val="00907AC5"/>
    <w:rsid w:val="00913E7E"/>
    <w:rsid w:val="0091461F"/>
    <w:rsid w:val="009201E1"/>
    <w:rsid w:val="00920389"/>
    <w:rsid w:val="00920B21"/>
    <w:rsid w:val="009236F4"/>
    <w:rsid w:val="00927844"/>
    <w:rsid w:val="00931E63"/>
    <w:rsid w:val="00934543"/>
    <w:rsid w:val="00935627"/>
    <w:rsid w:val="00936E95"/>
    <w:rsid w:val="00942002"/>
    <w:rsid w:val="00943FFB"/>
    <w:rsid w:val="00944C54"/>
    <w:rsid w:val="009578F4"/>
    <w:rsid w:val="00963A97"/>
    <w:rsid w:val="00967EAA"/>
    <w:rsid w:val="00970DE4"/>
    <w:rsid w:val="00976EDE"/>
    <w:rsid w:val="00981750"/>
    <w:rsid w:val="00983234"/>
    <w:rsid w:val="00985B80"/>
    <w:rsid w:val="009905D0"/>
    <w:rsid w:val="009A08DB"/>
    <w:rsid w:val="009A3196"/>
    <w:rsid w:val="009A4734"/>
    <w:rsid w:val="009B0A99"/>
    <w:rsid w:val="009B0E6A"/>
    <w:rsid w:val="009B252C"/>
    <w:rsid w:val="009C01A9"/>
    <w:rsid w:val="009C547E"/>
    <w:rsid w:val="009D16C1"/>
    <w:rsid w:val="009D62F0"/>
    <w:rsid w:val="009D7276"/>
    <w:rsid w:val="009E473B"/>
    <w:rsid w:val="009E7683"/>
    <w:rsid w:val="009E78B9"/>
    <w:rsid w:val="009F060E"/>
    <w:rsid w:val="009F5E38"/>
    <w:rsid w:val="00A00BBE"/>
    <w:rsid w:val="00A00C31"/>
    <w:rsid w:val="00A02151"/>
    <w:rsid w:val="00A13146"/>
    <w:rsid w:val="00A172D3"/>
    <w:rsid w:val="00A21623"/>
    <w:rsid w:val="00A22081"/>
    <w:rsid w:val="00A3235A"/>
    <w:rsid w:val="00A3428D"/>
    <w:rsid w:val="00A35A77"/>
    <w:rsid w:val="00A35AF1"/>
    <w:rsid w:val="00A3682B"/>
    <w:rsid w:val="00A5457B"/>
    <w:rsid w:val="00A57076"/>
    <w:rsid w:val="00A62398"/>
    <w:rsid w:val="00A64969"/>
    <w:rsid w:val="00A749F5"/>
    <w:rsid w:val="00A74CB8"/>
    <w:rsid w:val="00A77998"/>
    <w:rsid w:val="00A8254C"/>
    <w:rsid w:val="00A90F04"/>
    <w:rsid w:val="00A95CE5"/>
    <w:rsid w:val="00A96A0C"/>
    <w:rsid w:val="00AA0EB3"/>
    <w:rsid w:val="00AB7912"/>
    <w:rsid w:val="00AB7D64"/>
    <w:rsid w:val="00AC6AFA"/>
    <w:rsid w:val="00AC79C4"/>
    <w:rsid w:val="00AE6F14"/>
    <w:rsid w:val="00AF20D4"/>
    <w:rsid w:val="00B01784"/>
    <w:rsid w:val="00B073D3"/>
    <w:rsid w:val="00B1102A"/>
    <w:rsid w:val="00B11935"/>
    <w:rsid w:val="00B17C72"/>
    <w:rsid w:val="00B23543"/>
    <w:rsid w:val="00B24832"/>
    <w:rsid w:val="00B3117C"/>
    <w:rsid w:val="00B319CB"/>
    <w:rsid w:val="00B32877"/>
    <w:rsid w:val="00B3354A"/>
    <w:rsid w:val="00B37D22"/>
    <w:rsid w:val="00B40A84"/>
    <w:rsid w:val="00B44FD5"/>
    <w:rsid w:val="00B45FE8"/>
    <w:rsid w:val="00B4687B"/>
    <w:rsid w:val="00B47F94"/>
    <w:rsid w:val="00B50874"/>
    <w:rsid w:val="00B51E06"/>
    <w:rsid w:val="00B66245"/>
    <w:rsid w:val="00B67F6F"/>
    <w:rsid w:val="00B73F10"/>
    <w:rsid w:val="00B750F3"/>
    <w:rsid w:val="00B77A42"/>
    <w:rsid w:val="00B957D8"/>
    <w:rsid w:val="00B971C1"/>
    <w:rsid w:val="00BA26D8"/>
    <w:rsid w:val="00BA52B0"/>
    <w:rsid w:val="00BA5803"/>
    <w:rsid w:val="00BA671F"/>
    <w:rsid w:val="00BC1267"/>
    <w:rsid w:val="00BC4A26"/>
    <w:rsid w:val="00BD2A76"/>
    <w:rsid w:val="00BD2BA1"/>
    <w:rsid w:val="00BD542F"/>
    <w:rsid w:val="00BE4FE7"/>
    <w:rsid w:val="00BF586A"/>
    <w:rsid w:val="00BF7C38"/>
    <w:rsid w:val="00C01937"/>
    <w:rsid w:val="00C12170"/>
    <w:rsid w:val="00C14D52"/>
    <w:rsid w:val="00C222CC"/>
    <w:rsid w:val="00C22F12"/>
    <w:rsid w:val="00C25DBD"/>
    <w:rsid w:val="00C3736F"/>
    <w:rsid w:val="00C378AC"/>
    <w:rsid w:val="00C5455A"/>
    <w:rsid w:val="00C54674"/>
    <w:rsid w:val="00C54B12"/>
    <w:rsid w:val="00C555AE"/>
    <w:rsid w:val="00C56CCC"/>
    <w:rsid w:val="00C624BF"/>
    <w:rsid w:val="00C62FC2"/>
    <w:rsid w:val="00C71B43"/>
    <w:rsid w:val="00C74205"/>
    <w:rsid w:val="00C87024"/>
    <w:rsid w:val="00C9053B"/>
    <w:rsid w:val="00C90B74"/>
    <w:rsid w:val="00CA331A"/>
    <w:rsid w:val="00CA3FF9"/>
    <w:rsid w:val="00CA71C8"/>
    <w:rsid w:val="00CC0947"/>
    <w:rsid w:val="00CC1648"/>
    <w:rsid w:val="00CC4D12"/>
    <w:rsid w:val="00CC642D"/>
    <w:rsid w:val="00CD0CEE"/>
    <w:rsid w:val="00CE0274"/>
    <w:rsid w:val="00CE145C"/>
    <w:rsid w:val="00CE7199"/>
    <w:rsid w:val="00CF04B4"/>
    <w:rsid w:val="00CF3380"/>
    <w:rsid w:val="00CF3D46"/>
    <w:rsid w:val="00D03657"/>
    <w:rsid w:val="00D03BF6"/>
    <w:rsid w:val="00D102E2"/>
    <w:rsid w:val="00D1204D"/>
    <w:rsid w:val="00D16069"/>
    <w:rsid w:val="00D24211"/>
    <w:rsid w:val="00D2529E"/>
    <w:rsid w:val="00D27FBC"/>
    <w:rsid w:val="00D335BC"/>
    <w:rsid w:val="00D378FA"/>
    <w:rsid w:val="00D37B37"/>
    <w:rsid w:val="00D4069E"/>
    <w:rsid w:val="00D46AB0"/>
    <w:rsid w:val="00D537BB"/>
    <w:rsid w:val="00D61066"/>
    <w:rsid w:val="00D656FF"/>
    <w:rsid w:val="00D660AF"/>
    <w:rsid w:val="00D669A0"/>
    <w:rsid w:val="00D7286C"/>
    <w:rsid w:val="00D73BAF"/>
    <w:rsid w:val="00D757E8"/>
    <w:rsid w:val="00D8220B"/>
    <w:rsid w:val="00D924F5"/>
    <w:rsid w:val="00D92F5D"/>
    <w:rsid w:val="00D942E7"/>
    <w:rsid w:val="00D95A83"/>
    <w:rsid w:val="00DA3702"/>
    <w:rsid w:val="00DA54BD"/>
    <w:rsid w:val="00DB0C53"/>
    <w:rsid w:val="00DB54E8"/>
    <w:rsid w:val="00DB6CE9"/>
    <w:rsid w:val="00DC5C90"/>
    <w:rsid w:val="00DD5C53"/>
    <w:rsid w:val="00DE0B7D"/>
    <w:rsid w:val="00DE171D"/>
    <w:rsid w:val="00DE2C5B"/>
    <w:rsid w:val="00E064D2"/>
    <w:rsid w:val="00E1340D"/>
    <w:rsid w:val="00E14811"/>
    <w:rsid w:val="00E163BD"/>
    <w:rsid w:val="00E25293"/>
    <w:rsid w:val="00E26976"/>
    <w:rsid w:val="00E2716D"/>
    <w:rsid w:val="00E33428"/>
    <w:rsid w:val="00E33F2B"/>
    <w:rsid w:val="00E36630"/>
    <w:rsid w:val="00E5088A"/>
    <w:rsid w:val="00E609A0"/>
    <w:rsid w:val="00E63ADE"/>
    <w:rsid w:val="00E64490"/>
    <w:rsid w:val="00E65D69"/>
    <w:rsid w:val="00E7047A"/>
    <w:rsid w:val="00E77126"/>
    <w:rsid w:val="00EA1D11"/>
    <w:rsid w:val="00EB15EE"/>
    <w:rsid w:val="00EC52CA"/>
    <w:rsid w:val="00ED5264"/>
    <w:rsid w:val="00EE2EDC"/>
    <w:rsid w:val="00EE5807"/>
    <w:rsid w:val="00EE7D05"/>
    <w:rsid w:val="00EF272B"/>
    <w:rsid w:val="00EF3B15"/>
    <w:rsid w:val="00EF4EF0"/>
    <w:rsid w:val="00F002C6"/>
    <w:rsid w:val="00F05726"/>
    <w:rsid w:val="00F1386B"/>
    <w:rsid w:val="00F140F4"/>
    <w:rsid w:val="00F14F26"/>
    <w:rsid w:val="00F22DC2"/>
    <w:rsid w:val="00F34F4F"/>
    <w:rsid w:val="00F36FC5"/>
    <w:rsid w:val="00F409B0"/>
    <w:rsid w:val="00F43844"/>
    <w:rsid w:val="00F50984"/>
    <w:rsid w:val="00F603E0"/>
    <w:rsid w:val="00F605E5"/>
    <w:rsid w:val="00F60E98"/>
    <w:rsid w:val="00F639B6"/>
    <w:rsid w:val="00F6725C"/>
    <w:rsid w:val="00F73663"/>
    <w:rsid w:val="00F745C3"/>
    <w:rsid w:val="00F82929"/>
    <w:rsid w:val="00F8464E"/>
    <w:rsid w:val="00F86646"/>
    <w:rsid w:val="00F96923"/>
    <w:rsid w:val="00F97237"/>
    <w:rsid w:val="00FB6E0F"/>
    <w:rsid w:val="00FC2D2C"/>
    <w:rsid w:val="00FD24D3"/>
    <w:rsid w:val="00FE580C"/>
    <w:rsid w:val="00FF0EFE"/>
    <w:rsid w:val="00FF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E40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484"/>
    <w:pPr>
      <w:ind w:left="720"/>
      <w:contextualSpacing/>
    </w:pPr>
  </w:style>
  <w:style w:type="paragraph" w:customStyle="1" w:styleId="Default">
    <w:name w:val="Default"/>
    <w:rsid w:val="00826484"/>
    <w:pPr>
      <w:widowControl w:val="0"/>
      <w:autoSpaceDE w:val="0"/>
      <w:autoSpaceDN w:val="0"/>
      <w:adjustRightInd w:val="0"/>
    </w:pPr>
    <w:rPr>
      <w:rFonts w:ascii="Verdana" w:hAnsi="Verdana" w:cs="Verdana"/>
      <w:color w:val="000000"/>
    </w:rPr>
  </w:style>
  <w:style w:type="paragraph" w:styleId="FootnoteText">
    <w:name w:val="footnote text"/>
    <w:basedOn w:val="Normal"/>
    <w:link w:val="FootnoteTextChar"/>
    <w:uiPriority w:val="99"/>
    <w:unhideWhenUsed/>
    <w:rsid w:val="00A74CB8"/>
    <w:rPr>
      <w:lang w:val="en-US"/>
    </w:rPr>
  </w:style>
  <w:style w:type="character" w:customStyle="1" w:styleId="FootnoteTextChar">
    <w:name w:val="Footnote Text Char"/>
    <w:basedOn w:val="DefaultParagraphFont"/>
    <w:link w:val="FootnoteText"/>
    <w:uiPriority w:val="99"/>
    <w:rsid w:val="00A74CB8"/>
  </w:style>
  <w:style w:type="character" w:styleId="FootnoteReference">
    <w:name w:val="footnote reference"/>
    <w:basedOn w:val="DefaultParagraphFont"/>
    <w:uiPriority w:val="99"/>
    <w:unhideWhenUsed/>
    <w:rsid w:val="00A74CB8"/>
    <w:rPr>
      <w:vertAlign w:val="superscript"/>
    </w:rPr>
  </w:style>
  <w:style w:type="paragraph" w:styleId="BalloonText">
    <w:name w:val="Balloon Text"/>
    <w:basedOn w:val="Normal"/>
    <w:link w:val="BalloonTextChar"/>
    <w:uiPriority w:val="99"/>
    <w:semiHidden/>
    <w:unhideWhenUsed/>
    <w:rsid w:val="00B77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A42"/>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484"/>
    <w:pPr>
      <w:ind w:left="720"/>
      <w:contextualSpacing/>
    </w:pPr>
  </w:style>
  <w:style w:type="paragraph" w:customStyle="1" w:styleId="Default">
    <w:name w:val="Default"/>
    <w:rsid w:val="00826484"/>
    <w:pPr>
      <w:widowControl w:val="0"/>
      <w:autoSpaceDE w:val="0"/>
      <w:autoSpaceDN w:val="0"/>
      <w:adjustRightInd w:val="0"/>
    </w:pPr>
    <w:rPr>
      <w:rFonts w:ascii="Verdana" w:hAnsi="Verdana" w:cs="Verdana"/>
      <w:color w:val="000000"/>
    </w:rPr>
  </w:style>
  <w:style w:type="paragraph" w:styleId="FootnoteText">
    <w:name w:val="footnote text"/>
    <w:basedOn w:val="Normal"/>
    <w:link w:val="FootnoteTextChar"/>
    <w:uiPriority w:val="99"/>
    <w:unhideWhenUsed/>
    <w:rsid w:val="00A74CB8"/>
    <w:rPr>
      <w:lang w:val="en-US"/>
    </w:rPr>
  </w:style>
  <w:style w:type="character" w:customStyle="1" w:styleId="FootnoteTextChar">
    <w:name w:val="Footnote Text Char"/>
    <w:basedOn w:val="DefaultParagraphFont"/>
    <w:link w:val="FootnoteText"/>
    <w:uiPriority w:val="99"/>
    <w:rsid w:val="00A74CB8"/>
  </w:style>
  <w:style w:type="character" w:styleId="FootnoteReference">
    <w:name w:val="footnote reference"/>
    <w:basedOn w:val="DefaultParagraphFont"/>
    <w:uiPriority w:val="99"/>
    <w:unhideWhenUsed/>
    <w:rsid w:val="00A74CB8"/>
    <w:rPr>
      <w:vertAlign w:val="superscript"/>
    </w:rPr>
  </w:style>
  <w:style w:type="paragraph" w:styleId="BalloonText">
    <w:name w:val="Balloon Text"/>
    <w:basedOn w:val="Normal"/>
    <w:link w:val="BalloonTextChar"/>
    <w:uiPriority w:val="99"/>
    <w:semiHidden/>
    <w:unhideWhenUsed/>
    <w:rsid w:val="00B77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A42"/>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845</Words>
  <Characters>4821</Characters>
  <Application>Microsoft Macintosh Word</Application>
  <DocSecurity>0</DocSecurity>
  <Lines>40</Lines>
  <Paragraphs>11</Paragraphs>
  <ScaleCrop>false</ScaleCrop>
  <Company>Ann Skippers Planning</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Skippers</dc:creator>
  <cp:keywords/>
  <dc:description/>
  <cp:lastModifiedBy>Ann Skippers</cp:lastModifiedBy>
  <cp:revision>31</cp:revision>
  <cp:lastPrinted>2017-04-06T10:53:00Z</cp:lastPrinted>
  <dcterms:created xsi:type="dcterms:W3CDTF">2020-09-26T18:18:00Z</dcterms:created>
  <dcterms:modified xsi:type="dcterms:W3CDTF">2020-09-29T00:14:00Z</dcterms:modified>
</cp:coreProperties>
</file>