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00F09" w14:textId="12568E20" w:rsidR="00787C5F" w:rsidRPr="00301572" w:rsidRDefault="00301572" w:rsidP="00810897">
      <w:pPr>
        <w:pStyle w:val="Heading1"/>
      </w:pPr>
      <w:r w:rsidRPr="00301572">
        <w:t>Harborough District Cou</w:t>
      </w:r>
      <w:r w:rsidR="00196B0D">
        <w:t>ncil Prevent Action Plan 20</w:t>
      </w:r>
      <w:r w:rsidR="00783BF6">
        <w:t>2</w:t>
      </w:r>
      <w:r w:rsidR="00750894">
        <w:t>1-22</w:t>
      </w:r>
    </w:p>
    <w:p w14:paraId="284BAF8D" w14:textId="77777777" w:rsidR="00810897" w:rsidRDefault="00810897"/>
    <w:p w14:paraId="131FBB00" w14:textId="435597E9" w:rsidR="00810897" w:rsidRPr="00810897" w:rsidRDefault="00301572" w:rsidP="00810897">
      <w:pPr>
        <w:pStyle w:val="Heading2"/>
      </w:pPr>
      <w:r>
        <w:t>Priority:  Statutory Prevent Duty</w:t>
      </w:r>
    </w:p>
    <w:p w14:paraId="0737FEE9" w14:textId="64A51D1E" w:rsidR="00301572" w:rsidRPr="006625C4" w:rsidRDefault="00301572">
      <w:pPr>
        <w:rPr>
          <w:b/>
        </w:rPr>
      </w:pPr>
      <w:r w:rsidRPr="006625C4">
        <w:rPr>
          <w:b/>
        </w:rPr>
        <w:t>Aim:  Work with local partners to protect the public, prevent crime and to promote strong, integrated communities.</w:t>
      </w:r>
    </w:p>
    <w:p w14:paraId="0A3ADDFB" w14:textId="4A4D46F3" w:rsidR="006625C4" w:rsidRDefault="00865AC7">
      <w:r>
        <w:t>Objectives:</w:t>
      </w:r>
    </w:p>
    <w:p w14:paraId="0F62958B" w14:textId="77777777" w:rsidR="00A67F28" w:rsidRDefault="00A67F28">
      <w:r>
        <w:t>2011 Prevent Strategy Objectives</w:t>
      </w:r>
    </w:p>
    <w:p w14:paraId="540FA12E" w14:textId="77777777" w:rsidR="006625C4" w:rsidRDefault="006625C4" w:rsidP="006625C4">
      <w:pPr>
        <w:pStyle w:val="ListParagraph"/>
        <w:numPr>
          <w:ilvl w:val="0"/>
          <w:numId w:val="1"/>
        </w:numPr>
      </w:pPr>
      <w:r>
        <w:t>To respond to the ideological challenge of terrorism and the threat we face from those who promote it.</w:t>
      </w:r>
    </w:p>
    <w:p w14:paraId="76A73793" w14:textId="77777777" w:rsidR="00A67F28" w:rsidRDefault="00A67F28" w:rsidP="00A67F28">
      <w:pPr>
        <w:pStyle w:val="ListParagraph"/>
        <w:numPr>
          <w:ilvl w:val="0"/>
          <w:numId w:val="1"/>
        </w:numPr>
      </w:pPr>
      <w:r>
        <w:t>prevent people from being drawn into terrorism and ensure that they are given appropriate advice and support</w:t>
      </w:r>
    </w:p>
    <w:p w14:paraId="080C08C1" w14:textId="6A2F51A5" w:rsidR="00A67F28" w:rsidRDefault="00A67F28" w:rsidP="00A67F28">
      <w:pPr>
        <w:pStyle w:val="ListParagraph"/>
        <w:numPr>
          <w:ilvl w:val="0"/>
          <w:numId w:val="1"/>
        </w:numPr>
      </w:pPr>
      <w:r>
        <w:t xml:space="preserve">Work with sectors and institutions </w:t>
      </w:r>
      <w:r w:rsidR="00865AC7">
        <w:t>where there</w:t>
      </w:r>
      <w:r>
        <w:t xml:space="preserve"> are risks of radicalisation that we need to address.</w:t>
      </w:r>
    </w:p>
    <w:p w14:paraId="50B87B73" w14:textId="77777777" w:rsidR="001C0F2F" w:rsidRDefault="001C0F2F" w:rsidP="00CD779E">
      <w:r>
        <w:t>Local Objectives</w:t>
      </w:r>
    </w:p>
    <w:p w14:paraId="5064D27A" w14:textId="4BE6C42D" w:rsidR="00407DFE" w:rsidRPr="006625C4" w:rsidRDefault="00407DFE" w:rsidP="00CD779E">
      <w:pPr>
        <w:pStyle w:val="ListParagraph"/>
        <w:numPr>
          <w:ilvl w:val="0"/>
          <w:numId w:val="1"/>
        </w:numPr>
      </w:pPr>
      <w:r w:rsidRPr="006625C4">
        <w:t>Comply with Stat</w:t>
      </w:r>
      <w:r w:rsidR="00A67F28">
        <w:t xml:space="preserve">utory Duty </w:t>
      </w:r>
      <w:r w:rsidR="00865AC7">
        <w:t>under Section</w:t>
      </w:r>
      <w:r w:rsidR="00A67F28">
        <w:t xml:space="preserve"> 26 </w:t>
      </w:r>
      <w:r w:rsidRPr="006625C4">
        <w:t>of the</w:t>
      </w:r>
      <w:r w:rsidR="00A67F28">
        <w:t xml:space="preserve"> Counter-Terrorism and Security Act 2015</w:t>
      </w:r>
    </w:p>
    <w:p w14:paraId="46EB7B25" w14:textId="0E5DEB53" w:rsidR="00301572" w:rsidRDefault="00301572" w:rsidP="00CD779E">
      <w:pPr>
        <w:pStyle w:val="ListParagraph"/>
        <w:numPr>
          <w:ilvl w:val="0"/>
          <w:numId w:val="1"/>
        </w:numPr>
      </w:pPr>
      <w:r>
        <w:t xml:space="preserve">To raise awareness </w:t>
      </w:r>
      <w:r w:rsidR="00865AC7">
        <w:t>of the</w:t>
      </w:r>
      <w:r>
        <w:t xml:space="preserve"> risks of radicalisation through information and training</w:t>
      </w:r>
    </w:p>
    <w:p w14:paraId="52E018B3" w14:textId="77777777" w:rsidR="00D16BEF" w:rsidRPr="00F7045C" w:rsidRDefault="00F7045C" w:rsidP="00D16BEF">
      <w:pPr>
        <w:rPr>
          <w:b/>
          <w:u w:val="single"/>
        </w:rPr>
      </w:pPr>
      <w:r w:rsidRPr="00F7045C">
        <w:rPr>
          <w:b/>
          <w:u w:val="single"/>
        </w:rPr>
        <w:t>Contest 3.0 excerpt from June 2018 paper.</w:t>
      </w:r>
    </w:p>
    <w:p w14:paraId="5E545CF8" w14:textId="3C77E942" w:rsidR="00F7045C" w:rsidRPr="00F7045C" w:rsidRDefault="00F7045C" w:rsidP="00F7045C">
      <w:pPr>
        <w:spacing w:after="0"/>
        <w:rPr>
          <w:b/>
        </w:rPr>
      </w:pPr>
      <w:r>
        <w:rPr>
          <w:b/>
        </w:rPr>
        <w:t>Prevent</w:t>
      </w:r>
      <w:r w:rsidR="00810897">
        <w:rPr>
          <w:b/>
        </w:rPr>
        <w:t xml:space="preserve"> </w:t>
      </w:r>
      <w:r w:rsidRPr="00F7045C">
        <w:rPr>
          <w:b/>
        </w:rPr>
        <w:t>Local authorities</w:t>
      </w:r>
      <w:r w:rsidR="00810897">
        <w:rPr>
          <w:b/>
        </w:rPr>
        <w:t xml:space="preserve">, </w:t>
      </w:r>
      <w:r w:rsidRPr="00F7045C">
        <w:rPr>
          <w:b/>
        </w:rPr>
        <w:t>115</w:t>
      </w:r>
    </w:p>
    <w:p w14:paraId="657F783F" w14:textId="20C85990" w:rsidR="00F7045C" w:rsidRDefault="00F7045C" w:rsidP="00F7045C">
      <w:r>
        <w:t xml:space="preserve">Delivery of Prevent is locally </w:t>
      </w:r>
      <w:r w:rsidR="00865AC7">
        <w:t>led and</w:t>
      </w:r>
      <w:r>
        <w:t xml:space="preserve"> driven by analysis of the threat in communities. Local authorities are among the most vital partners in our network. The Prevent duty requires local authorities to establish or make use of existing multi-agency groups to assess the local picture, coordinate activity and to put in place arrangements to monitor the impact of safeguarding work. In priority areas where the risk of radicalisation is assessed as being highest, </w:t>
      </w:r>
      <w:r w:rsidR="00865AC7">
        <w:t>Prevent</w:t>
      </w:r>
      <w:r>
        <w:t xml:space="preserve"> coordinators employed by local authorities build partnerships in communities, oversee the delivery of local action plans to respond to the risk of radicalisation, and work with partners to embed safeguarding activity in statutory services including social care, health and education. We have also been piloting a new approach where local authorities take a greater role in running our Channel programme (described in detail below), bringing the process more into line with common safeguarding procedures.</w:t>
      </w:r>
    </w:p>
    <w:p w14:paraId="66350724" w14:textId="77777777" w:rsidR="00D16BEF" w:rsidRDefault="00D16BEF" w:rsidP="00D16BEF"/>
    <w:p w14:paraId="1B5FCC64" w14:textId="4EA9260D" w:rsidR="00F35386" w:rsidRPr="00810897" w:rsidRDefault="00F35386" w:rsidP="00810897">
      <w:pPr>
        <w:pStyle w:val="Heading3"/>
      </w:pPr>
      <w:r w:rsidRPr="00810897">
        <w:lastRenderedPageBreak/>
        <w:t xml:space="preserve">Prevent Duty Toolkit –Delivery Benchmark  </w:t>
      </w:r>
    </w:p>
    <w:tbl>
      <w:tblPr>
        <w:tblStyle w:val="TableGridLight"/>
        <w:tblW w:w="5000" w:type="pct"/>
        <w:tblLook w:val="0020" w:firstRow="1" w:lastRow="0" w:firstColumn="0" w:lastColumn="0" w:noHBand="0" w:noVBand="0"/>
      </w:tblPr>
      <w:tblGrid>
        <w:gridCol w:w="819"/>
        <w:gridCol w:w="5242"/>
        <w:gridCol w:w="8113"/>
      </w:tblGrid>
      <w:tr w:rsidR="00F35386" w14:paraId="4B3B22FA" w14:textId="77777777" w:rsidTr="00C86B51">
        <w:trPr>
          <w:trHeight w:val="1097"/>
        </w:trPr>
        <w:tc>
          <w:tcPr>
            <w:tcW w:w="289" w:type="pct"/>
          </w:tcPr>
          <w:p w14:paraId="4530E9C6" w14:textId="77777777" w:rsidR="00F35386" w:rsidRDefault="00F35386">
            <w:pPr>
              <w:pStyle w:val="Pa10"/>
              <w:spacing w:after="220"/>
              <w:jc w:val="center"/>
              <w:rPr>
                <w:rFonts w:cs="Helvetica Neue"/>
                <w:color w:val="000000"/>
                <w:sz w:val="23"/>
                <w:szCs w:val="23"/>
              </w:rPr>
            </w:pPr>
            <w:r>
              <w:rPr>
                <w:rFonts w:cs="Helvetica Neue"/>
                <w:color w:val="000000"/>
                <w:sz w:val="23"/>
                <w:szCs w:val="23"/>
              </w:rPr>
              <w:t>1.</w:t>
            </w:r>
          </w:p>
        </w:tc>
        <w:tc>
          <w:tcPr>
            <w:tcW w:w="1849" w:type="pct"/>
          </w:tcPr>
          <w:p w14:paraId="00853BC8" w14:textId="77777777" w:rsidR="00F35386" w:rsidRDefault="00F35386">
            <w:pPr>
              <w:pStyle w:val="Pa5"/>
              <w:spacing w:after="220"/>
              <w:rPr>
                <w:rFonts w:cs="Helvetica Neue"/>
                <w:color w:val="000000"/>
                <w:sz w:val="23"/>
                <w:szCs w:val="23"/>
              </w:rPr>
            </w:pPr>
            <w:r>
              <w:rPr>
                <w:rFonts w:cs="Helvetica Neue"/>
                <w:color w:val="000000"/>
                <w:sz w:val="23"/>
                <w:szCs w:val="23"/>
              </w:rPr>
              <w:t xml:space="preserve">The organisation has a local risk assessment process reviewed against the Counter Terrorism Local Profile. </w:t>
            </w:r>
          </w:p>
        </w:tc>
        <w:tc>
          <w:tcPr>
            <w:tcW w:w="2862" w:type="pct"/>
          </w:tcPr>
          <w:p w14:paraId="12531BE2" w14:textId="1D9723A4" w:rsidR="00F35386" w:rsidRDefault="00B829E5">
            <w:pPr>
              <w:pStyle w:val="Pa5"/>
              <w:spacing w:after="220"/>
              <w:rPr>
                <w:rFonts w:asciiTheme="minorHAnsi" w:hAnsiTheme="minorHAnsi" w:cs="Helvetica Neue"/>
                <w:color w:val="000000"/>
                <w:sz w:val="23"/>
                <w:szCs w:val="23"/>
              </w:rPr>
            </w:pPr>
            <w:r w:rsidRPr="002945BC">
              <w:rPr>
                <w:rFonts w:asciiTheme="minorHAnsi" w:hAnsiTheme="minorHAnsi" w:cs="Helvetica Neue"/>
                <w:color w:val="000000"/>
                <w:sz w:val="23"/>
                <w:szCs w:val="23"/>
              </w:rPr>
              <w:t>This is assessed at a County Level.</w:t>
            </w:r>
          </w:p>
          <w:p w14:paraId="4A3EFF07" w14:textId="68E3F6B5" w:rsidR="00750894" w:rsidRPr="00750894" w:rsidRDefault="00750894" w:rsidP="00750894">
            <w:r>
              <w:t>A Harborough Situational Risk Assessment was completed in May 2021</w:t>
            </w:r>
          </w:p>
          <w:p w14:paraId="196177BC" w14:textId="77777777" w:rsidR="00B829E5" w:rsidRPr="002945BC" w:rsidRDefault="00B829E5" w:rsidP="00B829E5">
            <w:r w:rsidRPr="002945BC">
              <w:t>Harborough do complete Counter Terrorism Local Profile questions.</w:t>
            </w:r>
          </w:p>
        </w:tc>
      </w:tr>
      <w:tr w:rsidR="00F35386" w14:paraId="130DCF47" w14:textId="77777777" w:rsidTr="00C86B51">
        <w:trPr>
          <w:trHeight w:val="279"/>
        </w:trPr>
        <w:tc>
          <w:tcPr>
            <w:tcW w:w="289" w:type="pct"/>
          </w:tcPr>
          <w:p w14:paraId="36B9B171" w14:textId="77777777" w:rsidR="00F35386" w:rsidRDefault="00F35386">
            <w:pPr>
              <w:pStyle w:val="Pa10"/>
              <w:spacing w:after="220"/>
              <w:jc w:val="center"/>
              <w:rPr>
                <w:rFonts w:cs="Helvetica Neue"/>
                <w:color w:val="000000"/>
                <w:sz w:val="23"/>
                <w:szCs w:val="23"/>
              </w:rPr>
            </w:pPr>
            <w:r>
              <w:rPr>
                <w:rFonts w:cs="Helvetica Neue"/>
                <w:color w:val="000000"/>
                <w:sz w:val="23"/>
                <w:szCs w:val="23"/>
              </w:rPr>
              <w:t>2.</w:t>
            </w:r>
          </w:p>
        </w:tc>
        <w:tc>
          <w:tcPr>
            <w:tcW w:w="1849" w:type="pct"/>
          </w:tcPr>
          <w:p w14:paraId="0CD90B54" w14:textId="77777777" w:rsidR="00F35386" w:rsidRDefault="00F35386">
            <w:pPr>
              <w:pStyle w:val="Pa5"/>
              <w:spacing w:after="220"/>
              <w:rPr>
                <w:rFonts w:cs="Helvetica Neue"/>
                <w:color w:val="000000"/>
                <w:sz w:val="23"/>
                <w:szCs w:val="23"/>
              </w:rPr>
            </w:pPr>
            <w:r>
              <w:rPr>
                <w:rFonts w:cs="Helvetica Neue"/>
                <w:color w:val="000000"/>
                <w:sz w:val="23"/>
                <w:szCs w:val="23"/>
              </w:rPr>
              <w:t>There is an effective multi-agency partnership board in place to oversee Prevent delivery in the area.</w:t>
            </w:r>
          </w:p>
        </w:tc>
        <w:tc>
          <w:tcPr>
            <w:tcW w:w="2862" w:type="pct"/>
          </w:tcPr>
          <w:p w14:paraId="7D944FBB" w14:textId="77777777" w:rsidR="00B829E5" w:rsidRPr="002945BC" w:rsidRDefault="00B829E5" w:rsidP="00B829E5">
            <w:pPr>
              <w:pStyle w:val="Pa5"/>
              <w:rPr>
                <w:rFonts w:asciiTheme="minorHAnsi" w:hAnsiTheme="minorHAnsi" w:cs="Helvetica Neue"/>
                <w:color w:val="000000"/>
                <w:sz w:val="23"/>
                <w:szCs w:val="23"/>
              </w:rPr>
            </w:pPr>
            <w:r w:rsidRPr="002945BC">
              <w:rPr>
                <w:rFonts w:asciiTheme="minorHAnsi" w:hAnsiTheme="minorHAnsi" w:cs="Helvetica Neue"/>
                <w:color w:val="000000"/>
                <w:sz w:val="23"/>
                <w:szCs w:val="23"/>
              </w:rPr>
              <w:t>LSCSB</w:t>
            </w:r>
          </w:p>
          <w:p w14:paraId="3DC3BE4E" w14:textId="77777777" w:rsidR="00F35386" w:rsidRPr="002945BC" w:rsidRDefault="00B829E5" w:rsidP="00B829E5">
            <w:pPr>
              <w:pStyle w:val="Pa5"/>
              <w:rPr>
                <w:rFonts w:asciiTheme="minorHAnsi" w:hAnsiTheme="minorHAnsi" w:cs="Helvetica Neue"/>
                <w:color w:val="000000"/>
                <w:sz w:val="23"/>
                <w:szCs w:val="23"/>
              </w:rPr>
            </w:pPr>
            <w:r w:rsidRPr="002945BC">
              <w:rPr>
                <w:rFonts w:asciiTheme="minorHAnsi" w:hAnsiTheme="minorHAnsi" w:cs="Helvetica Neue"/>
                <w:color w:val="000000"/>
                <w:sz w:val="23"/>
                <w:szCs w:val="23"/>
              </w:rPr>
              <w:t>District Prevent Steering Group</w:t>
            </w:r>
          </w:p>
          <w:p w14:paraId="19689C77" w14:textId="418611B9" w:rsidR="00B829E5" w:rsidRDefault="00B829E5" w:rsidP="00B829E5">
            <w:r w:rsidRPr="002945BC">
              <w:t xml:space="preserve">District HATE </w:t>
            </w:r>
            <w:r w:rsidR="004C178A">
              <w:t xml:space="preserve">Strategic </w:t>
            </w:r>
            <w:r w:rsidRPr="002945BC">
              <w:t>Group</w:t>
            </w:r>
            <w:r w:rsidR="004C178A">
              <w:t xml:space="preserve"> and working group</w:t>
            </w:r>
          </w:p>
          <w:p w14:paraId="19E5AC22" w14:textId="2760BE9A" w:rsidR="00750894" w:rsidRPr="002945BC" w:rsidRDefault="008E0C83" w:rsidP="00B829E5">
            <w:r>
              <w:t>Discussed at Senior Officer Group</w:t>
            </w:r>
          </w:p>
          <w:p w14:paraId="5D474ACF" w14:textId="1FDA0774" w:rsidR="00B829E5" w:rsidRPr="00783BF6" w:rsidRDefault="00783BF6" w:rsidP="00B829E5">
            <w:pPr>
              <w:rPr>
                <w:i/>
                <w:iCs/>
              </w:rPr>
            </w:pPr>
            <w:r w:rsidRPr="00783BF6">
              <w:rPr>
                <w:i/>
                <w:iCs/>
              </w:rPr>
              <w:t>The partnership Prevent Steering Group feeds up in to the Prevent Leads Group which feeds in to the Prevent Executive.</w:t>
            </w:r>
          </w:p>
        </w:tc>
      </w:tr>
      <w:tr w:rsidR="00F35386" w14:paraId="38D9C5F9" w14:textId="77777777" w:rsidTr="00C86B51">
        <w:trPr>
          <w:trHeight w:val="139"/>
        </w:trPr>
        <w:tc>
          <w:tcPr>
            <w:tcW w:w="289" w:type="pct"/>
          </w:tcPr>
          <w:p w14:paraId="13D595BC" w14:textId="77777777" w:rsidR="00F35386" w:rsidRDefault="00F35386">
            <w:pPr>
              <w:pStyle w:val="Pa10"/>
              <w:spacing w:after="220"/>
              <w:jc w:val="center"/>
              <w:rPr>
                <w:rFonts w:cs="Helvetica Neue"/>
                <w:color w:val="000000"/>
                <w:sz w:val="23"/>
                <w:szCs w:val="23"/>
              </w:rPr>
            </w:pPr>
            <w:r>
              <w:rPr>
                <w:rFonts w:cs="Helvetica Neue"/>
                <w:color w:val="000000"/>
                <w:sz w:val="23"/>
                <w:szCs w:val="23"/>
              </w:rPr>
              <w:t>3.</w:t>
            </w:r>
          </w:p>
        </w:tc>
        <w:tc>
          <w:tcPr>
            <w:tcW w:w="1849" w:type="pct"/>
          </w:tcPr>
          <w:p w14:paraId="03DE16F5" w14:textId="77777777" w:rsidR="00F35386" w:rsidRDefault="00F35386">
            <w:pPr>
              <w:pStyle w:val="Pa5"/>
              <w:spacing w:after="220"/>
              <w:rPr>
                <w:rFonts w:cs="Helvetica Neue"/>
                <w:color w:val="000000"/>
                <w:sz w:val="23"/>
                <w:szCs w:val="23"/>
              </w:rPr>
            </w:pPr>
            <w:r>
              <w:rPr>
                <w:rFonts w:cs="Helvetica Neue"/>
                <w:color w:val="000000"/>
                <w:sz w:val="23"/>
                <w:szCs w:val="23"/>
              </w:rPr>
              <w:t>The area has an agreed Prevent Partnership Plan.</w:t>
            </w:r>
          </w:p>
        </w:tc>
        <w:tc>
          <w:tcPr>
            <w:tcW w:w="2862" w:type="pct"/>
          </w:tcPr>
          <w:p w14:paraId="7A235751" w14:textId="258356B3" w:rsidR="00F35386" w:rsidRPr="002945BC" w:rsidRDefault="00783BF6" w:rsidP="00F35386">
            <w:r w:rsidRPr="00783BF6">
              <w:t>The area has an agreed Prevent Partnership Plan which is coordinated by the local Prevent Coordinator.</w:t>
            </w:r>
            <w:r>
              <w:t xml:space="preserve"> </w:t>
            </w:r>
          </w:p>
        </w:tc>
      </w:tr>
      <w:tr w:rsidR="00F35386" w14:paraId="62C525E2" w14:textId="77777777" w:rsidTr="00C86B51">
        <w:trPr>
          <w:trHeight w:val="279"/>
        </w:trPr>
        <w:tc>
          <w:tcPr>
            <w:tcW w:w="289" w:type="pct"/>
          </w:tcPr>
          <w:p w14:paraId="158CAB90" w14:textId="77777777" w:rsidR="00F35386" w:rsidRDefault="00F35386">
            <w:pPr>
              <w:pStyle w:val="Pa10"/>
              <w:spacing w:after="220"/>
              <w:jc w:val="center"/>
              <w:rPr>
                <w:rFonts w:cs="Helvetica Neue"/>
                <w:color w:val="000000"/>
                <w:sz w:val="23"/>
                <w:szCs w:val="23"/>
              </w:rPr>
            </w:pPr>
            <w:r>
              <w:rPr>
                <w:rFonts w:cs="Helvetica Neue"/>
                <w:color w:val="000000"/>
                <w:sz w:val="23"/>
                <w:szCs w:val="23"/>
              </w:rPr>
              <w:t>4.</w:t>
            </w:r>
          </w:p>
        </w:tc>
        <w:tc>
          <w:tcPr>
            <w:tcW w:w="1849" w:type="pct"/>
          </w:tcPr>
          <w:p w14:paraId="509E7F70" w14:textId="77777777" w:rsidR="00F35386" w:rsidRDefault="00F35386">
            <w:pPr>
              <w:pStyle w:val="Pa5"/>
              <w:spacing w:after="220"/>
              <w:rPr>
                <w:rFonts w:cs="Helvetica Neue"/>
                <w:color w:val="000000"/>
                <w:sz w:val="23"/>
                <w:szCs w:val="23"/>
              </w:rPr>
            </w:pPr>
            <w:r>
              <w:rPr>
                <w:rFonts w:cs="Helvetica Neue"/>
                <w:color w:val="000000"/>
                <w:sz w:val="23"/>
                <w:szCs w:val="23"/>
              </w:rPr>
              <w:t>There is an agreed process in place for the referral of those identified as being at risk of radicalisation.</w:t>
            </w:r>
          </w:p>
        </w:tc>
        <w:tc>
          <w:tcPr>
            <w:tcW w:w="2862" w:type="pct"/>
          </w:tcPr>
          <w:p w14:paraId="6B8BDA81" w14:textId="77777777" w:rsidR="00F35386" w:rsidRDefault="00B829E5" w:rsidP="002945BC">
            <w:pPr>
              <w:pStyle w:val="Pa5"/>
              <w:rPr>
                <w:rFonts w:asciiTheme="minorHAnsi" w:hAnsiTheme="minorHAnsi" w:cs="Helvetica Neue"/>
                <w:color w:val="000000"/>
                <w:sz w:val="23"/>
                <w:szCs w:val="23"/>
              </w:rPr>
            </w:pPr>
            <w:r w:rsidRPr="002945BC">
              <w:rPr>
                <w:rFonts w:asciiTheme="minorHAnsi" w:hAnsiTheme="minorHAnsi" w:cs="Helvetica Neue"/>
                <w:color w:val="000000"/>
                <w:sz w:val="23"/>
                <w:szCs w:val="23"/>
              </w:rPr>
              <w:t>Yes</w:t>
            </w:r>
          </w:p>
          <w:p w14:paraId="17242069" w14:textId="02C65DB7" w:rsidR="00B829E5" w:rsidRPr="002945BC" w:rsidRDefault="00D712AD" w:rsidP="002945BC">
            <w:hyperlink r:id="rId7" w:history="1">
              <w:r w:rsidR="001C216D" w:rsidRPr="009F7FAF">
                <w:rPr>
                  <w:rStyle w:val="Hyperlink"/>
                </w:rPr>
                <w:t>http://lrsb.org.uk/prevent</w:t>
              </w:r>
            </w:hyperlink>
          </w:p>
          <w:p w14:paraId="5B5449B6" w14:textId="733E3F2A" w:rsidR="00B829E5" w:rsidRDefault="00D712AD" w:rsidP="00A27635">
            <w:hyperlink r:id="rId8" w:history="1">
              <w:r w:rsidR="001C216D" w:rsidRPr="009F7FAF">
                <w:rPr>
                  <w:rStyle w:val="Hyperlink"/>
                </w:rPr>
                <w:t>https://www.leicestershire.gov.uk/leisure-and-community/community-safety/prevent</w:t>
              </w:r>
            </w:hyperlink>
          </w:p>
          <w:p w14:paraId="5FFC07D3" w14:textId="3A6BF9A0" w:rsidR="001C216D" w:rsidRPr="002945BC" w:rsidRDefault="001C216D" w:rsidP="00A27635"/>
        </w:tc>
      </w:tr>
      <w:tr w:rsidR="00F35386" w14:paraId="68B600EF" w14:textId="77777777" w:rsidTr="00C86B51">
        <w:trPr>
          <w:trHeight w:val="279"/>
        </w:trPr>
        <w:tc>
          <w:tcPr>
            <w:tcW w:w="289" w:type="pct"/>
          </w:tcPr>
          <w:p w14:paraId="404B2F16" w14:textId="77777777" w:rsidR="00F35386" w:rsidRDefault="00F35386">
            <w:pPr>
              <w:pStyle w:val="Pa10"/>
              <w:spacing w:after="220"/>
              <w:jc w:val="center"/>
              <w:rPr>
                <w:rFonts w:cs="Helvetica Neue"/>
                <w:color w:val="000000"/>
                <w:sz w:val="23"/>
                <w:szCs w:val="23"/>
              </w:rPr>
            </w:pPr>
            <w:r>
              <w:rPr>
                <w:rFonts w:cs="Helvetica Neue"/>
                <w:color w:val="000000"/>
                <w:sz w:val="23"/>
                <w:szCs w:val="23"/>
              </w:rPr>
              <w:t>5.</w:t>
            </w:r>
          </w:p>
        </w:tc>
        <w:tc>
          <w:tcPr>
            <w:tcW w:w="1849" w:type="pct"/>
          </w:tcPr>
          <w:p w14:paraId="1F5A2C9F" w14:textId="77777777" w:rsidR="00F35386" w:rsidRDefault="00F35386">
            <w:pPr>
              <w:pStyle w:val="Pa5"/>
              <w:spacing w:after="220"/>
              <w:rPr>
                <w:rFonts w:cs="Helvetica Neue"/>
                <w:color w:val="000000"/>
                <w:sz w:val="23"/>
                <w:szCs w:val="23"/>
              </w:rPr>
            </w:pPr>
            <w:r>
              <w:rPr>
                <w:rFonts w:cs="Helvetica Neue"/>
                <w:color w:val="000000"/>
                <w:sz w:val="23"/>
                <w:szCs w:val="23"/>
              </w:rPr>
              <w:t>There is a Channel Panel in place, meeting monthly, with representation from all relevant sectors.</w:t>
            </w:r>
          </w:p>
        </w:tc>
        <w:tc>
          <w:tcPr>
            <w:tcW w:w="2862" w:type="pct"/>
          </w:tcPr>
          <w:p w14:paraId="616E8A21" w14:textId="3BA20277" w:rsidR="00F35386" w:rsidRPr="002945BC" w:rsidRDefault="00865AC7">
            <w:pPr>
              <w:pStyle w:val="Pa5"/>
              <w:spacing w:after="220"/>
              <w:rPr>
                <w:rFonts w:asciiTheme="minorHAnsi" w:hAnsiTheme="minorHAnsi" w:cs="Helvetica Neue"/>
                <w:color w:val="000000"/>
                <w:sz w:val="23"/>
                <w:szCs w:val="23"/>
              </w:rPr>
            </w:pPr>
            <w:r w:rsidRPr="002945BC">
              <w:rPr>
                <w:rFonts w:asciiTheme="minorHAnsi" w:hAnsiTheme="minorHAnsi" w:cs="Helvetica Neue"/>
                <w:color w:val="000000"/>
                <w:sz w:val="23"/>
                <w:szCs w:val="23"/>
              </w:rPr>
              <w:t>Yes,</w:t>
            </w:r>
            <w:r w:rsidR="002945BC" w:rsidRPr="002945BC">
              <w:rPr>
                <w:rFonts w:asciiTheme="minorHAnsi" w:hAnsiTheme="minorHAnsi"/>
              </w:rPr>
              <w:t xml:space="preserve"> </w:t>
            </w:r>
            <w:r w:rsidR="002945BC" w:rsidRPr="002945BC">
              <w:rPr>
                <w:rFonts w:asciiTheme="minorHAnsi" w:hAnsiTheme="minorHAnsi" w:cs="Helvetica Neue"/>
                <w:color w:val="000000"/>
                <w:sz w:val="23"/>
                <w:szCs w:val="23"/>
              </w:rPr>
              <w:t>Leicestershire's Channel Panel meetings are held on a monthly basis.</w:t>
            </w:r>
          </w:p>
        </w:tc>
      </w:tr>
      <w:tr w:rsidR="00F35386" w14:paraId="56A39579" w14:textId="77777777" w:rsidTr="00C86B51">
        <w:trPr>
          <w:trHeight w:val="139"/>
        </w:trPr>
        <w:tc>
          <w:tcPr>
            <w:tcW w:w="289" w:type="pct"/>
          </w:tcPr>
          <w:p w14:paraId="294EAEB6" w14:textId="77777777" w:rsidR="00F35386" w:rsidRDefault="00F35386">
            <w:pPr>
              <w:pStyle w:val="Pa10"/>
              <w:spacing w:after="220"/>
              <w:jc w:val="center"/>
              <w:rPr>
                <w:rFonts w:cs="Helvetica Neue"/>
                <w:color w:val="000000"/>
                <w:sz w:val="23"/>
                <w:szCs w:val="23"/>
              </w:rPr>
            </w:pPr>
            <w:r>
              <w:rPr>
                <w:rFonts w:cs="Helvetica Neue"/>
                <w:color w:val="000000"/>
                <w:sz w:val="23"/>
                <w:szCs w:val="23"/>
              </w:rPr>
              <w:t>6.</w:t>
            </w:r>
          </w:p>
        </w:tc>
        <w:tc>
          <w:tcPr>
            <w:tcW w:w="1849" w:type="pct"/>
          </w:tcPr>
          <w:p w14:paraId="4A914672" w14:textId="77777777" w:rsidR="00F35386" w:rsidRDefault="00F35386">
            <w:pPr>
              <w:pStyle w:val="Pa5"/>
              <w:spacing w:after="220"/>
              <w:rPr>
                <w:rFonts w:cs="Helvetica Neue"/>
                <w:color w:val="000000"/>
                <w:sz w:val="23"/>
                <w:szCs w:val="23"/>
              </w:rPr>
            </w:pPr>
            <w:r>
              <w:rPr>
                <w:rFonts w:cs="Helvetica Neue"/>
                <w:color w:val="000000"/>
                <w:sz w:val="23"/>
                <w:szCs w:val="23"/>
              </w:rPr>
              <w:t xml:space="preserve">There is a Prevent problem solving process in place to disrupt radicalising influences. </w:t>
            </w:r>
          </w:p>
        </w:tc>
        <w:tc>
          <w:tcPr>
            <w:tcW w:w="2862" w:type="pct"/>
          </w:tcPr>
          <w:p w14:paraId="427F8C60" w14:textId="550D1BC0" w:rsidR="00783BF6" w:rsidRDefault="00783BF6">
            <w:pPr>
              <w:pStyle w:val="Pa5"/>
              <w:spacing w:after="220"/>
              <w:rPr>
                <w:rFonts w:asciiTheme="minorHAnsi" w:hAnsiTheme="minorHAnsi" w:cs="Helvetica Neue"/>
                <w:color w:val="000000"/>
                <w:sz w:val="23"/>
                <w:szCs w:val="23"/>
              </w:rPr>
            </w:pPr>
            <w:r w:rsidRPr="00783BF6">
              <w:rPr>
                <w:rFonts w:asciiTheme="minorHAnsi" w:hAnsiTheme="minorHAnsi" w:cs="Helvetica Neue"/>
                <w:color w:val="000000"/>
                <w:sz w:val="23"/>
                <w:szCs w:val="23"/>
              </w:rPr>
              <w:t>There is a multi-agency Prevent problem solving process in place across LLR to disrupt radicalising influences</w:t>
            </w:r>
            <w:r>
              <w:rPr>
                <w:rFonts w:asciiTheme="minorHAnsi" w:hAnsiTheme="minorHAnsi" w:cs="Helvetica Neue"/>
                <w:color w:val="000000"/>
                <w:sz w:val="23"/>
                <w:szCs w:val="23"/>
              </w:rPr>
              <w:t>.</w:t>
            </w:r>
          </w:p>
          <w:p w14:paraId="42486472" w14:textId="053E4F94" w:rsidR="00F35386" w:rsidRPr="002945BC" w:rsidRDefault="002945BC">
            <w:pPr>
              <w:pStyle w:val="Pa5"/>
              <w:spacing w:after="220"/>
              <w:rPr>
                <w:rFonts w:asciiTheme="minorHAnsi" w:hAnsiTheme="minorHAnsi" w:cs="Helvetica Neue"/>
                <w:color w:val="000000"/>
                <w:sz w:val="23"/>
                <w:szCs w:val="23"/>
              </w:rPr>
            </w:pPr>
            <w:r w:rsidRPr="002945BC">
              <w:rPr>
                <w:rFonts w:asciiTheme="minorHAnsi" w:hAnsiTheme="minorHAnsi" w:cs="Helvetica Neue"/>
                <w:color w:val="000000"/>
                <w:sz w:val="23"/>
                <w:szCs w:val="23"/>
              </w:rPr>
              <w:t xml:space="preserve">Countywide Prevent Lead receives briefings and issue passed to Delivery Group. </w:t>
            </w:r>
          </w:p>
          <w:p w14:paraId="6E424BDE" w14:textId="77777777" w:rsidR="002945BC" w:rsidRDefault="002945BC" w:rsidP="00A27635">
            <w:r w:rsidRPr="002945BC">
              <w:t xml:space="preserve">Locally Prevent is part of Community </w:t>
            </w:r>
            <w:r w:rsidR="00047A00">
              <w:t>Safety Partnership Priorities and Action</w:t>
            </w:r>
            <w:r w:rsidRPr="002945BC">
              <w:t xml:space="preserve"> Plan</w:t>
            </w:r>
          </w:p>
          <w:p w14:paraId="4FA2E969" w14:textId="6E0DB285" w:rsidR="00047A00" w:rsidRPr="00A27635" w:rsidRDefault="00A27635" w:rsidP="00A27635">
            <w:pPr>
              <w:pStyle w:val="ListParagraph"/>
              <w:numPr>
                <w:ilvl w:val="0"/>
                <w:numId w:val="7"/>
              </w:numPr>
              <w:rPr>
                <w:i/>
              </w:rPr>
            </w:pPr>
            <w:r w:rsidRPr="00A27635">
              <w:rPr>
                <w:i/>
              </w:rPr>
              <w:t xml:space="preserve">Raise awareness of </w:t>
            </w:r>
            <w:r w:rsidR="00865AC7" w:rsidRPr="00A27635">
              <w:rPr>
                <w:i/>
              </w:rPr>
              <w:t>Exploitation and</w:t>
            </w:r>
            <w:r w:rsidRPr="00A27635">
              <w:rPr>
                <w:i/>
              </w:rPr>
              <w:t xml:space="preserve"> support for victims</w:t>
            </w:r>
          </w:p>
          <w:p w14:paraId="37E13B10" w14:textId="77777777" w:rsidR="00A27635" w:rsidRPr="00A27635" w:rsidRDefault="00A27635" w:rsidP="00047A00">
            <w:pPr>
              <w:numPr>
                <w:ilvl w:val="0"/>
                <w:numId w:val="7"/>
              </w:numPr>
              <w:rPr>
                <w:rFonts w:eastAsia="Times New Roman" w:cs="Times New Roman"/>
                <w:b/>
                <w:sz w:val="24"/>
                <w:szCs w:val="24"/>
                <w:lang w:eastAsia="en-GB"/>
              </w:rPr>
            </w:pPr>
            <w:r>
              <w:rPr>
                <w:i/>
              </w:rPr>
              <w:t xml:space="preserve">Raise awareness </w:t>
            </w:r>
            <w:r w:rsidRPr="00A27635">
              <w:rPr>
                <w:i/>
              </w:rPr>
              <w:t xml:space="preserve">of </w:t>
            </w:r>
            <w:r w:rsidRPr="00A27635">
              <w:rPr>
                <w:rFonts w:eastAsia="Times New Roman" w:cs="Times New Roman"/>
                <w:i/>
                <w:sz w:val="24"/>
                <w:szCs w:val="24"/>
                <w:lang w:eastAsia="en-GB"/>
              </w:rPr>
              <w:t>Online radicalisation</w:t>
            </w:r>
          </w:p>
        </w:tc>
      </w:tr>
      <w:tr w:rsidR="00F35386" w14:paraId="54806A0E" w14:textId="77777777" w:rsidTr="00C86B51">
        <w:trPr>
          <w:trHeight w:val="139"/>
        </w:trPr>
        <w:tc>
          <w:tcPr>
            <w:tcW w:w="289" w:type="pct"/>
          </w:tcPr>
          <w:p w14:paraId="5CAA39CB" w14:textId="77777777" w:rsidR="00F35386" w:rsidRDefault="00F35386">
            <w:pPr>
              <w:pStyle w:val="Pa10"/>
              <w:spacing w:after="220"/>
              <w:jc w:val="center"/>
              <w:rPr>
                <w:rFonts w:cs="Helvetica Neue"/>
                <w:color w:val="000000"/>
                <w:sz w:val="23"/>
                <w:szCs w:val="23"/>
              </w:rPr>
            </w:pPr>
            <w:r>
              <w:rPr>
                <w:rFonts w:cs="Helvetica Neue"/>
                <w:color w:val="000000"/>
                <w:sz w:val="23"/>
                <w:szCs w:val="23"/>
              </w:rPr>
              <w:t>7.</w:t>
            </w:r>
          </w:p>
        </w:tc>
        <w:tc>
          <w:tcPr>
            <w:tcW w:w="1849" w:type="pct"/>
          </w:tcPr>
          <w:p w14:paraId="0977FDBC" w14:textId="77777777" w:rsidR="00F35386" w:rsidRDefault="00F35386">
            <w:pPr>
              <w:pStyle w:val="Pa5"/>
              <w:spacing w:after="220"/>
              <w:rPr>
                <w:rFonts w:cs="Helvetica Neue"/>
                <w:color w:val="000000"/>
                <w:sz w:val="23"/>
                <w:szCs w:val="23"/>
              </w:rPr>
            </w:pPr>
            <w:r>
              <w:rPr>
                <w:rFonts w:cs="Helvetica Neue"/>
                <w:color w:val="000000"/>
                <w:sz w:val="23"/>
                <w:szCs w:val="23"/>
              </w:rPr>
              <w:t>There is a training programme in place for relevant personnel.</w:t>
            </w:r>
          </w:p>
        </w:tc>
        <w:tc>
          <w:tcPr>
            <w:tcW w:w="2862" w:type="pct"/>
          </w:tcPr>
          <w:p w14:paraId="5B4DD8BB" w14:textId="77777777" w:rsidR="00F35386" w:rsidRDefault="00B829E5">
            <w:pPr>
              <w:pStyle w:val="Pa5"/>
              <w:spacing w:after="220"/>
              <w:rPr>
                <w:rFonts w:cs="Helvetica Neue"/>
                <w:color w:val="000000"/>
                <w:sz w:val="23"/>
                <w:szCs w:val="23"/>
              </w:rPr>
            </w:pPr>
            <w:r>
              <w:rPr>
                <w:rFonts w:cs="Helvetica Neue"/>
                <w:color w:val="000000"/>
                <w:sz w:val="23"/>
                <w:szCs w:val="23"/>
              </w:rPr>
              <w:t>See Action Plan below</w:t>
            </w:r>
          </w:p>
        </w:tc>
      </w:tr>
      <w:tr w:rsidR="00F35386" w14:paraId="7D79E761" w14:textId="77777777" w:rsidTr="00C86B51">
        <w:trPr>
          <w:trHeight w:val="419"/>
        </w:trPr>
        <w:tc>
          <w:tcPr>
            <w:tcW w:w="289" w:type="pct"/>
          </w:tcPr>
          <w:p w14:paraId="5D71790B" w14:textId="77777777" w:rsidR="00F35386" w:rsidRDefault="00F35386">
            <w:pPr>
              <w:pStyle w:val="Pa10"/>
              <w:spacing w:after="220"/>
              <w:jc w:val="center"/>
              <w:rPr>
                <w:rFonts w:cs="Helvetica Neue"/>
                <w:color w:val="000000"/>
                <w:sz w:val="23"/>
                <w:szCs w:val="23"/>
              </w:rPr>
            </w:pPr>
            <w:r>
              <w:rPr>
                <w:rFonts w:cs="Helvetica Neue"/>
                <w:color w:val="000000"/>
                <w:sz w:val="23"/>
                <w:szCs w:val="23"/>
              </w:rPr>
              <w:lastRenderedPageBreak/>
              <w:t>8.</w:t>
            </w:r>
          </w:p>
        </w:tc>
        <w:tc>
          <w:tcPr>
            <w:tcW w:w="1849" w:type="pct"/>
          </w:tcPr>
          <w:p w14:paraId="653D92A8" w14:textId="77777777" w:rsidR="00F35386" w:rsidRDefault="00F35386">
            <w:pPr>
              <w:pStyle w:val="Pa5"/>
              <w:spacing w:after="220"/>
              <w:rPr>
                <w:rFonts w:cs="Helvetica Neue"/>
                <w:color w:val="000000"/>
                <w:sz w:val="23"/>
                <w:szCs w:val="23"/>
              </w:rPr>
            </w:pPr>
            <w:r>
              <w:rPr>
                <w:rFonts w:cs="Helvetica Neue"/>
                <w:color w:val="000000"/>
                <w:sz w:val="23"/>
                <w:szCs w:val="23"/>
              </w:rPr>
              <w:t>There is a venue hire policy in place, to ensure that premises are not used by radicalising influencers, and an effective IT policy in place to prevent the access of extremist materials by users of networks.</w:t>
            </w:r>
          </w:p>
        </w:tc>
        <w:tc>
          <w:tcPr>
            <w:tcW w:w="2862" w:type="pct"/>
          </w:tcPr>
          <w:p w14:paraId="063013F2" w14:textId="77777777" w:rsidR="00F35386" w:rsidRDefault="00B829E5">
            <w:pPr>
              <w:pStyle w:val="Pa5"/>
              <w:spacing w:after="220"/>
              <w:rPr>
                <w:rFonts w:cs="Helvetica Neue"/>
                <w:color w:val="000000"/>
                <w:sz w:val="23"/>
                <w:szCs w:val="23"/>
              </w:rPr>
            </w:pPr>
            <w:r>
              <w:rPr>
                <w:rFonts w:cs="Helvetica Neue"/>
                <w:color w:val="000000"/>
                <w:sz w:val="23"/>
                <w:szCs w:val="23"/>
              </w:rPr>
              <w:t>See Action Plan below</w:t>
            </w:r>
          </w:p>
        </w:tc>
      </w:tr>
      <w:tr w:rsidR="00F35386" w14:paraId="6FBEE266" w14:textId="77777777" w:rsidTr="00C86B51">
        <w:trPr>
          <w:trHeight w:val="419"/>
        </w:trPr>
        <w:tc>
          <w:tcPr>
            <w:tcW w:w="289" w:type="pct"/>
          </w:tcPr>
          <w:p w14:paraId="48AE647B" w14:textId="77777777" w:rsidR="00F35386" w:rsidRDefault="00F35386">
            <w:pPr>
              <w:pStyle w:val="Pa10"/>
              <w:spacing w:after="220"/>
              <w:jc w:val="center"/>
              <w:rPr>
                <w:rFonts w:cs="Helvetica Neue"/>
                <w:color w:val="000000"/>
                <w:sz w:val="23"/>
                <w:szCs w:val="23"/>
              </w:rPr>
            </w:pPr>
            <w:r>
              <w:rPr>
                <w:rFonts w:cs="Helvetica Neue"/>
                <w:color w:val="000000"/>
                <w:sz w:val="23"/>
                <w:szCs w:val="23"/>
              </w:rPr>
              <w:t>9.</w:t>
            </w:r>
          </w:p>
        </w:tc>
        <w:tc>
          <w:tcPr>
            <w:tcW w:w="1849" w:type="pct"/>
          </w:tcPr>
          <w:p w14:paraId="6551A06B" w14:textId="77777777" w:rsidR="00F35386" w:rsidRDefault="00F35386">
            <w:pPr>
              <w:pStyle w:val="Pa5"/>
              <w:spacing w:after="220"/>
              <w:rPr>
                <w:rFonts w:cs="Helvetica Neue"/>
                <w:color w:val="000000"/>
                <w:sz w:val="23"/>
                <w:szCs w:val="23"/>
              </w:rPr>
            </w:pPr>
            <w:r>
              <w:rPr>
                <w:rFonts w:cs="Helvetica Neue"/>
                <w:color w:val="000000"/>
                <w:sz w:val="23"/>
                <w:szCs w:val="23"/>
              </w:rPr>
              <w:t>There is engagement with a range of communities and civil society groups, both faith-based and secular, to encourage an open and transparent dialogue on the Prevent Duty.</w:t>
            </w:r>
          </w:p>
        </w:tc>
        <w:tc>
          <w:tcPr>
            <w:tcW w:w="2862" w:type="pct"/>
          </w:tcPr>
          <w:p w14:paraId="07840BA1" w14:textId="77777777" w:rsidR="00F35386" w:rsidRDefault="00B829E5">
            <w:pPr>
              <w:pStyle w:val="Pa5"/>
              <w:spacing w:after="220"/>
              <w:rPr>
                <w:rFonts w:cs="Helvetica Neue"/>
                <w:color w:val="000000"/>
                <w:sz w:val="23"/>
                <w:szCs w:val="23"/>
              </w:rPr>
            </w:pPr>
            <w:r>
              <w:rPr>
                <w:rFonts w:cs="Helvetica Neue"/>
                <w:color w:val="000000"/>
                <w:sz w:val="23"/>
                <w:szCs w:val="23"/>
              </w:rPr>
              <w:t>See Action Plan below</w:t>
            </w:r>
          </w:p>
        </w:tc>
      </w:tr>
      <w:tr w:rsidR="00F35386" w14:paraId="79CD395C" w14:textId="77777777" w:rsidTr="00C86B51">
        <w:trPr>
          <w:trHeight w:val="419"/>
        </w:trPr>
        <w:tc>
          <w:tcPr>
            <w:tcW w:w="289" w:type="pct"/>
          </w:tcPr>
          <w:p w14:paraId="090044C4" w14:textId="77777777" w:rsidR="00F35386" w:rsidRDefault="00F35386">
            <w:pPr>
              <w:pStyle w:val="Pa10"/>
              <w:spacing w:after="220"/>
              <w:jc w:val="center"/>
              <w:rPr>
                <w:rFonts w:cs="Helvetica Neue"/>
                <w:color w:val="000000"/>
                <w:sz w:val="23"/>
                <w:szCs w:val="23"/>
              </w:rPr>
            </w:pPr>
            <w:r>
              <w:rPr>
                <w:rFonts w:cs="Helvetica Neue"/>
                <w:color w:val="000000"/>
                <w:sz w:val="23"/>
                <w:szCs w:val="23"/>
              </w:rPr>
              <w:t>10.</w:t>
            </w:r>
          </w:p>
        </w:tc>
        <w:tc>
          <w:tcPr>
            <w:tcW w:w="1849" w:type="pct"/>
          </w:tcPr>
          <w:p w14:paraId="6A5AC148" w14:textId="2AFDCA6E" w:rsidR="00F35386" w:rsidRDefault="00F35386">
            <w:pPr>
              <w:pStyle w:val="Pa5"/>
              <w:spacing w:after="220"/>
              <w:rPr>
                <w:rFonts w:cs="Helvetica Neue"/>
                <w:color w:val="000000"/>
                <w:sz w:val="23"/>
                <w:szCs w:val="23"/>
              </w:rPr>
            </w:pPr>
            <w:r>
              <w:rPr>
                <w:rFonts w:cs="Helvetica Neue"/>
                <w:color w:val="000000"/>
                <w:sz w:val="23"/>
                <w:szCs w:val="23"/>
              </w:rPr>
              <w:t xml:space="preserve">There is a communications plan in place to proactively communicate and increase transparency of the reality / impact of Prevent </w:t>
            </w:r>
            <w:r w:rsidR="00865AC7">
              <w:rPr>
                <w:rFonts w:cs="Helvetica Neue"/>
                <w:color w:val="000000"/>
                <w:sz w:val="23"/>
                <w:szCs w:val="23"/>
              </w:rPr>
              <w:t>work and</w:t>
            </w:r>
            <w:r>
              <w:rPr>
                <w:rFonts w:cs="Helvetica Neue"/>
                <w:color w:val="000000"/>
                <w:sz w:val="23"/>
                <w:szCs w:val="23"/>
              </w:rPr>
              <w:t xml:space="preserve"> support frontline staff and communities to understand what Prevent looks like in practice.</w:t>
            </w:r>
          </w:p>
        </w:tc>
        <w:tc>
          <w:tcPr>
            <w:tcW w:w="2862" w:type="pct"/>
          </w:tcPr>
          <w:p w14:paraId="24CAF69A" w14:textId="77777777" w:rsidR="00F35386" w:rsidRDefault="00B829E5">
            <w:pPr>
              <w:pStyle w:val="Pa5"/>
              <w:spacing w:after="220"/>
              <w:rPr>
                <w:rFonts w:cs="Helvetica Neue"/>
                <w:color w:val="000000"/>
                <w:sz w:val="23"/>
                <w:szCs w:val="23"/>
              </w:rPr>
            </w:pPr>
            <w:r>
              <w:rPr>
                <w:rFonts w:cs="Helvetica Neue"/>
                <w:color w:val="000000"/>
                <w:sz w:val="23"/>
                <w:szCs w:val="23"/>
              </w:rPr>
              <w:t>See Action Plan below</w:t>
            </w:r>
            <w:r w:rsidR="00CD1E38">
              <w:rPr>
                <w:rFonts w:cs="Helvetica Neue"/>
                <w:color w:val="000000"/>
                <w:sz w:val="23"/>
                <w:szCs w:val="23"/>
              </w:rPr>
              <w:t>.</w:t>
            </w:r>
          </w:p>
          <w:p w14:paraId="36B5DC32" w14:textId="65B3D121" w:rsidR="00CD1E38" w:rsidRPr="00CD1E38" w:rsidRDefault="00CD1E38" w:rsidP="00CD1E38">
            <w:r>
              <w:t>Also separate Prevent Communications plan</w:t>
            </w:r>
          </w:p>
        </w:tc>
      </w:tr>
    </w:tbl>
    <w:tbl>
      <w:tblPr>
        <w:tblStyle w:val="TableGrid"/>
        <w:tblpPr w:leftFromText="180" w:rightFromText="180" w:vertAnchor="text" w:horzAnchor="margin" w:tblpY="1"/>
        <w:tblW w:w="5000" w:type="pct"/>
        <w:tblLayout w:type="fixed"/>
        <w:tblLook w:val="04A0" w:firstRow="1" w:lastRow="0" w:firstColumn="1" w:lastColumn="0" w:noHBand="0" w:noVBand="1"/>
      </w:tblPr>
      <w:tblGrid>
        <w:gridCol w:w="4434"/>
        <w:gridCol w:w="2197"/>
        <w:gridCol w:w="1698"/>
        <w:gridCol w:w="5845"/>
      </w:tblGrid>
      <w:tr w:rsidR="00810897" w14:paraId="20F5C47A" w14:textId="77777777" w:rsidTr="000C0EA7">
        <w:tc>
          <w:tcPr>
            <w:tcW w:w="1564" w:type="pct"/>
            <w:shd w:val="clear" w:color="auto" w:fill="CC66FF"/>
          </w:tcPr>
          <w:p w14:paraId="4AB631E6" w14:textId="77777777" w:rsidR="00810897" w:rsidRPr="00F35386" w:rsidRDefault="00810897" w:rsidP="00810897">
            <w:pPr>
              <w:rPr>
                <w:b/>
              </w:rPr>
            </w:pPr>
            <w:r w:rsidRPr="00F35386">
              <w:rPr>
                <w:b/>
              </w:rPr>
              <w:t>Key Actions</w:t>
            </w:r>
          </w:p>
        </w:tc>
        <w:tc>
          <w:tcPr>
            <w:tcW w:w="775" w:type="pct"/>
            <w:shd w:val="clear" w:color="auto" w:fill="CC66FF"/>
          </w:tcPr>
          <w:p w14:paraId="4AA51BC5" w14:textId="77777777" w:rsidR="00810897" w:rsidRPr="00F35386" w:rsidRDefault="00810897" w:rsidP="00810897">
            <w:pPr>
              <w:rPr>
                <w:b/>
              </w:rPr>
            </w:pPr>
            <w:r w:rsidRPr="00F35386">
              <w:rPr>
                <w:b/>
              </w:rPr>
              <w:t>Lead officer</w:t>
            </w:r>
          </w:p>
        </w:tc>
        <w:tc>
          <w:tcPr>
            <w:tcW w:w="599" w:type="pct"/>
            <w:shd w:val="clear" w:color="auto" w:fill="CC66FF"/>
          </w:tcPr>
          <w:p w14:paraId="3B273EE4" w14:textId="77777777" w:rsidR="00810897" w:rsidRPr="00F35386" w:rsidRDefault="00810897" w:rsidP="00810897">
            <w:pPr>
              <w:rPr>
                <w:b/>
              </w:rPr>
            </w:pPr>
            <w:r w:rsidRPr="00F35386">
              <w:rPr>
                <w:b/>
              </w:rPr>
              <w:t>Time scale/resources</w:t>
            </w:r>
          </w:p>
        </w:tc>
        <w:tc>
          <w:tcPr>
            <w:tcW w:w="2062" w:type="pct"/>
            <w:shd w:val="clear" w:color="auto" w:fill="CC66FF"/>
          </w:tcPr>
          <w:p w14:paraId="6BA48100" w14:textId="77777777" w:rsidR="00810897" w:rsidRPr="00F35386" w:rsidRDefault="00810897" w:rsidP="00810897">
            <w:pPr>
              <w:rPr>
                <w:b/>
              </w:rPr>
            </w:pPr>
            <w:r w:rsidRPr="00F35386">
              <w:rPr>
                <w:b/>
              </w:rPr>
              <w:t>Outcome/performance measure</w:t>
            </w:r>
          </w:p>
        </w:tc>
      </w:tr>
      <w:tr w:rsidR="00810897" w14:paraId="07C6DADF" w14:textId="77777777" w:rsidTr="000C0EA7">
        <w:tc>
          <w:tcPr>
            <w:tcW w:w="1564" w:type="pct"/>
            <w:shd w:val="clear" w:color="auto" w:fill="auto"/>
          </w:tcPr>
          <w:p w14:paraId="0F7F5051" w14:textId="77777777" w:rsidR="00810897" w:rsidRPr="006625C4" w:rsidRDefault="00810897" w:rsidP="00810897">
            <w:r w:rsidRPr="006625C4">
              <w:t xml:space="preserve">1. To keep a record of </w:t>
            </w:r>
            <w:r w:rsidRPr="006625C4">
              <w:tab/>
            </w:r>
          </w:p>
          <w:p w14:paraId="7F8E3497" w14:textId="45491DA0" w:rsidR="00810897" w:rsidRPr="006625C4" w:rsidRDefault="00810897" w:rsidP="00810897">
            <w:r w:rsidRPr="006625C4">
              <w:t>compliance against responsibilities</w:t>
            </w:r>
            <w:r w:rsidR="002332AA">
              <w:t xml:space="preserve"> a</w:t>
            </w:r>
            <w:r w:rsidRPr="006625C4">
              <w:t>s detailed in the Prevent</w:t>
            </w:r>
          </w:p>
          <w:p w14:paraId="0D848297" w14:textId="77777777" w:rsidR="00810897" w:rsidRPr="006625C4" w:rsidRDefault="00810897" w:rsidP="00810897">
            <w:r w:rsidRPr="006625C4">
              <w:t>Guidance via:</w:t>
            </w:r>
            <w:r w:rsidRPr="006625C4">
              <w:tab/>
            </w:r>
            <w:r w:rsidRPr="006625C4">
              <w:tab/>
            </w:r>
          </w:p>
          <w:p w14:paraId="2F92868A" w14:textId="77777777" w:rsidR="00810897" w:rsidRPr="006625C4" w:rsidRDefault="00810897" w:rsidP="00810897"/>
          <w:p w14:paraId="23403201" w14:textId="77777777" w:rsidR="00810897" w:rsidRPr="006625C4" w:rsidRDefault="00810897" w:rsidP="00810897">
            <w:r w:rsidRPr="006625C4">
              <w:t>a) Keeping this action plan</w:t>
            </w:r>
          </w:p>
          <w:p w14:paraId="384AD62C" w14:textId="210259AB" w:rsidR="00810897" w:rsidRPr="006625C4" w:rsidRDefault="00810897" w:rsidP="00810897">
            <w:r w:rsidRPr="006625C4">
              <w:t>updated with progress made against actions</w:t>
            </w:r>
            <w:r w:rsidRPr="006625C4">
              <w:tab/>
            </w:r>
            <w:r w:rsidRPr="006625C4">
              <w:tab/>
            </w:r>
          </w:p>
          <w:p w14:paraId="2A0736B8" w14:textId="77777777" w:rsidR="00810897" w:rsidRPr="006625C4" w:rsidRDefault="00810897" w:rsidP="00810897">
            <w:r w:rsidRPr="006625C4">
              <w:t>b) Keeping a record of Prevent cases raised at JAG</w:t>
            </w:r>
            <w:r w:rsidRPr="006625C4">
              <w:tab/>
            </w:r>
            <w:r w:rsidRPr="006625C4">
              <w:tab/>
            </w:r>
          </w:p>
          <w:p w14:paraId="71CAF76C" w14:textId="77777777" w:rsidR="00810897" w:rsidRPr="006625C4" w:rsidRDefault="00810897" w:rsidP="00810897"/>
          <w:p w14:paraId="1282EE7C" w14:textId="77777777" w:rsidR="00810897" w:rsidRDefault="00810897" w:rsidP="00810897">
            <w:r w:rsidRPr="006625C4">
              <w:t>c) Keeping a record of CSP agenda items where appropriat</w:t>
            </w:r>
            <w:r>
              <w:t>e</w:t>
            </w:r>
          </w:p>
        </w:tc>
        <w:tc>
          <w:tcPr>
            <w:tcW w:w="775" w:type="pct"/>
          </w:tcPr>
          <w:p w14:paraId="4403D573" w14:textId="77777777" w:rsidR="00810897" w:rsidRDefault="00810897" w:rsidP="00810897">
            <w:r>
              <w:t xml:space="preserve">Community Safety Manager </w:t>
            </w:r>
          </w:p>
        </w:tc>
        <w:tc>
          <w:tcPr>
            <w:tcW w:w="599" w:type="pct"/>
          </w:tcPr>
          <w:p w14:paraId="622084C7" w14:textId="77777777" w:rsidR="00810897" w:rsidRDefault="00810897" w:rsidP="00810897">
            <w:r>
              <w:t>Update monthly/Officer time</w:t>
            </w:r>
          </w:p>
        </w:tc>
        <w:tc>
          <w:tcPr>
            <w:tcW w:w="2062" w:type="pct"/>
          </w:tcPr>
          <w:p w14:paraId="1492A4A1" w14:textId="77777777" w:rsidR="00810897" w:rsidRDefault="00810897" w:rsidP="00810897">
            <w:r>
              <w:t>Maintain an electronic Prevent folder within the Community Safety Documents on the W Drive. Use this to collate information on all Prevent groups, projects</w:t>
            </w:r>
            <w:r>
              <w:tab/>
            </w:r>
          </w:p>
          <w:p w14:paraId="58C28243" w14:textId="77777777" w:rsidR="00810897" w:rsidRDefault="00810897" w:rsidP="00810897">
            <w:r>
              <w:t>and work delivered</w:t>
            </w:r>
            <w:r>
              <w:tab/>
            </w:r>
            <w:r>
              <w:tab/>
            </w:r>
            <w:r>
              <w:tab/>
            </w:r>
          </w:p>
          <w:p w14:paraId="390C3302" w14:textId="77777777" w:rsidR="00810897" w:rsidRDefault="00810897" w:rsidP="00810897">
            <w:r>
              <w:tab/>
            </w:r>
            <w:r>
              <w:tab/>
            </w:r>
            <w:r>
              <w:tab/>
            </w:r>
          </w:p>
          <w:p w14:paraId="240DB86F" w14:textId="77777777" w:rsidR="00810897" w:rsidRDefault="00810897" w:rsidP="00810897">
            <w:r>
              <w:t>Measure this by checking dates folder has</w:t>
            </w:r>
            <w:r>
              <w:tab/>
              <w:t xml:space="preserve"> been updated</w:t>
            </w:r>
            <w:r>
              <w:tab/>
            </w:r>
            <w:r>
              <w:tab/>
            </w:r>
            <w:r>
              <w:tab/>
            </w:r>
          </w:p>
          <w:p w14:paraId="3D693299" w14:textId="77777777" w:rsidR="00810897" w:rsidRDefault="00810897" w:rsidP="00810897">
            <w:r>
              <w:tab/>
            </w:r>
            <w:r>
              <w:tab/>
            </w:r>
            <w:r>
              <w:tab/>
            </w:r>
          </w:p>
        </w:tc>
      </w:tr>
      <w:tr w:rsidR="00810897" w14:paraId="2E4F2B3C" w14:textId="77777777" w:rsidTr="000C0EA7">
        <w:tc>
          <w:tcPr>
            <w:tcW w:w="1564" w:type="pct"/>
            <w:shd w:val="clear" w:color="auto" w:fill="auto"/>
          </w:tcPr>
          <w:p w14:paraId="72C754D5" w14:textId="77777777" w:rsidR="00810897" w:rsidRDefault="00810897" w:rsidP="00810897">
            <w:r>
              <w:t>2. District Rep at Prevent Steering Group to ensure:</w:t>
            </w:r>
            <w:r>
              <w:tab/>
            </w:r>
            <w:r>
              <w:tab/>
            </w:r>
          </w:p>
          <w:p w14:paraId="640E5594" w14:textId="77777777" w:rsidR="00810897" w:rsidRDefault="00810897" w:rsidP="00810897">
            <w:r>
              <w:lastRenderedPageBreak/>
              <w:t>a) Information and concerns</w:t>
            </w:r>
            <w:r>
              <w:tab/>
            </w:r>
          </w:p>
          <w:p w14:paraId="14F605AE" w14:textId="77777777" w:rsidR="00810897" w:rsidRDefault="00810897" w:rsidP="00810897">
            <w:r>
              <w:t>identified locally are raised with</w:t>
            </w:r>
          </w:p>
          <w:p w14:paraId="3D44A1CD" w14:textId="77777777" w:rsidR="00810897" w:rsidRDefault="00810897" w:rsidP="00810897">
            <w:r>
              <w:t xml:space="preserve">appropriate agencies at the </w:t>
            </w:r>
            <w:r>
              <w:tab/>
            </w:r>
          </w:p>
          <w:p w14:paraId="0D001B27" w14:textId="77777777" w:rsidR="00810897" w:rsidRDefault="00810897" w:rsidP="00810897">
            <w:r>
              <w:t>meetings</w:t>
            </w:r>
            <w:r>
              <w:tab/>
            </w:r>
            <w:r>
              <w:tab/>
            </w:r>
          </w:p>
          <w:p w14:paraId="581E6D4D" w14:textId="77777777" w:rsidR="00810897" w:rsidRDefault="00810897" w:rsidP="00810897">
            <w:r>
              <w:t>b) The Counter Terrorism Local Profiles document reflects</w:t>
            </w:r>
          </w:p>
          <w:p w14:paraId="2253FD6A" w14:textId="77777777" w:rsidR="00810897" w:rsidRDefault="00810897" w:rsidP="00810897">
            <w:r>
              <w:t>local concerns</w:t>
            </w:r>
            <w:r>
              <w:tab/>
            </w:r>
            <w:r>
              <w:tab/>
            </w:r>
          </w:p>
          <w:p w14:paraId="0B2D8834" w14:textId="77777777" w:rsidR="00810897" w:rsidRDefault="00810897" w:rsidP="00810897">
            <w:r>
              <w:t>c) Relevant information from this</w:t>
            </w:r>
          </w:p>
          <w:p w14:paraId="6CCEEB4F" w14:textId="77777777" w:rsidR="00810897" w:rsidRDefault="00810897" w:rsidP="00810897">
            <w:r>
              <w:t xml:space="preserve">group is fed back to the HDC </w:t>
            </w:r>
            <w:r>
              <w:tab/>
            </w:r>
          </w:p>
          <w:p w14:paraId="59262D49" w14:textId="77777777" w:rsidR="00810897" w:rsidRDefault="00810897" w:rsidP="00810897">
            <w:r>
              <w:t>Prevent Lead to pick up</w:t>
            </w:r>
          </w:p>
          <w:p w14:paraId="28A41F77" w14:textId="77777777" w:rsidR="00810897" w:rsidRDefault="00810897" w:rsidP="00810897">
            <w:r>
              <w:t>the relevant work locally at County ASB Strategy Group</w:t>
            </w:r>
            <w:r>
              <w:tab/>
            </w:r>
          </w:p>
        </w:tc>
        <w:tc>
          <w:tcPr>
            <w:tcW w:w="775" w:type="pct"/>
          </w:tcPr>
          <w:p w14:paraId="3B57D8D2" w14:textId="77777777" w:rsidR="00810897" w:rsidRDefault="00810897" w:rsidP="00810897">
            <w:r>
              <w:lastRenderedPageBreak/>
              <w:t>District Rep is</w:t>
            </w:r>
          </w:p>
          <w:p w14:paraId="3425B9CB" w14:textId="77777777" w:rsidR="00810897" w:rsidRDefault="00810897" w:rsidP="00810897">
            <w:r>
              <w:t xml:space="preserve">Strategic and </w:t>
            </w:r>
            <w:r>
              <w:lastRenderedPageBreak/>
              <w:t>Community Planning Hinckley</w:t>
            </w:r>
          </w:p>
          <w:p w14:paraId="265581DB" w14:textId="77777777" w:rsidR="00810897" w:rsidRDefault="00810897" w:rsidP="00810897"/>
          <w:p w14:paraId="3963719F" w14:textId="77777777" w:rsidR="00810897" w:rsidRDefault="00810897" w:rsidP="00810897">
            <w:r>
              <w:t>Community Safety Manager attends ASB/Hate/Prevent  Strategy Group and SOG.</w:t>
            </w:r>
          </w:p>
          <w:p w14:paraId="370AAA0B" w14:textId="77777777" w:rsidR="00810897" w:rsidRDefault="00810897" w:rsidP="00810897"/>
          <w:p w14:paraId="2F2A3433" w14:textId="77777777" w:rsidR="00810897" w:rsidRDefault="00810897" w:rsidP="00810897">
            <w:r>
              <w:t>Hate working group attended by Community Safety Officer.</w:t>
            </w:r>
          </w:p>
        </w:tc>
        <w:tc>
          <w:tcPr>
            <w:tcW w:w="599" w:type="pct"/>
          </w:tcPr>
          <w:p w14:paraId="012157F5" w14:textId="77777777" w:rsidR="00810897" w:rsidRDefault="00810897" w:rsidP="00810897">
            <w:r>
              <w:lastRenderedPageBreak/>
              <w:t>Quarterly</w:t>
            </w:r>
          </w:p>
        </w:tc>
        <w:tc>
          <w:tcPr>
            <w:tcW w:w="2062" w:type="pct"/>
          </w:tcPr>
          <w:p w14:paraId="7737F3CB" w14:textId="77777777" w:rsidR="00810897" w:rsidRDefault="00810897" w:rsidP="00810897">
            <w:r>
              <w:t>Local concerns are recorded in meeting minutes and in the Counter  Terrorism Local Profile (CTLP)</w:t>
            </w:r>
            <w:r>
              <w:tab/>
            </w:r>
            <w:r>
              <w:tab/>
            </w:r>
            <w:r>
              <w:tab/>
            </w:r>
          </w:p>
          <w:p w14:paraId="3890AFE1" w14:textId="77777777" w:rsidR="00810897" w:rsidRDefault="00810897" w:rsidP="00810897">
            <w:r>
              <w:lastRenderedPageBreak/>
              <w:t>Feedback is received from the PSG by the HDC Prevent Lead.</w:t>
            </w:r>
          </w:p>
          <w:p w14:paraId="21B816CB" w14:textId="77777777" w:rsidR="00810897" w:rsidRDefault="00810897" w:rsidP="00810897">
            <w:r>
              <w:tab/>
            </w:r>
            <w:r>
              <w:tab/>
            </w:r>
            <w:r>
              <w:tab/>
            </w:r>
          </w:p>
        </w:tc>
      </w:tr>
      <w:tr w:rsidR="00810897" w14:paraId="4A5E7A22" w14:textId="77777777" w:rsidTr="000C0EA7">
        <w:tc>
          <w:tcPr>
            <w:tcW w:w="1564" w:type="pct"/>
            <w:shd w:val="clear" w:color="auto" w:fill="auto"/>
          </w:tcPr>
          <w:p w14:paraId="2E3A6D32" w14:textId="77777777" w:rsidR="00810897" w:rsidRDefault="00810897" w:rsidP="00810897">
            <w:r>
              <w:lastRenderedPageBreak/>
              <w:t>3. Prevent duties to be incorporated into the work of Harborough Community Safety Partnership via standing agenda items at:</w:t>
            </w:r>
            <w:r>
              <w:tab/>
            </w:r>
            <w:r>
              <w:tab/>
            </w:r>
          </w:p>
          <w:p w14:paraId="127BED2F" w14:textId="77777777" w:rsidR="00810897" w:rsidRDefault="00810897" w:rsidP="00810897">
            <w:r>
              <w:t>a) CSP</w:t>
            </w:r>
            <w:r>
              <w:tab/>
            </w:r>
            <w:r>
              <w:tab/>
            </w:r>
          </w:p>
          <w:p w14:paraId="3746EBA2" w14:textId="77777777" w:rsidR="00810897" w:rsidRDefault="00810897" w:rsidP="00810897">
            <w:r>
              <w:t>b)  JAG</w:t>
            </w:r>
            <w:r>
              <w:tab/>
            </w:r>
            <w:r>
              <w:tab/>
            </w:r>
          </w:p>
          <w:p w14:paraId="36CA6B3C" w14:textId="77777777" w:rsidR="00810897" w:rsidRDefault="00810897" w:rsidP="00810897"/>
          <w:p w14:paraId="0E80BE48" w14:textId="77777777" w:rsidR="00810897" w:rsidRDefault="00810897" w:rsidP="00810897"/>
          <w:p w14:paraId="7C108FB1" w14:textId="77777777" w:rsidR="00810897" w:rsidRDefault="00810897" w:rsidP="00810897"/>
          <w:p w14:paraId="22657AB4" w14:textId="77777777" w:rsidR="00810897" w:rsidRDefault="00810897" w:rsidP="00810897"/>
          <w:p w14:paraId="2A21198B" w14:textId="77777777" w:rsidR="00810897" w:rsidRDefault="00810897" w:rsidP="00810897"/>
          <w:p w14:paraId="52DDAE48" w14:textId="77777777" w:rsidR="00810897" w:rsidRDefault="00810897" w:rsidP="00810897">
            <w:r>
              <w:tab/>
            </w:r>
            <w:r>
              <w:tab/>
            </w:r>
          </w:p>
        </w:tc>
        <w:tc>
          <w:tcPr>
            <w:tcW w:w="775" w:type="pct"/>
          </w:tcPr>
          <w:p w14:paraId="1D73D042" w14:textId="77777777" w:rsidR="00810897" w:rsidRDefault="00810897" w:rsidP="00810897">
            <w:r>
              <w:t xml:space="preserve">Community Safety Manager </w:t>
            </w:r>
          </w:p>
        </w:tc>
        <w:tc>
          <w:tcPr>
            <w:tcW w:w="599" w:type="pct"/>
          </w:tcPr>
          <w:p w14:paraId="7F092E1E" w14:textId="77777777" w:rsidR="00810897" w:rsidRDefault="00810897" w:rsidP="00810897">
            <w:r>
              <w:t>Monthly</w:t>
            </w:r>
          </w:p>
        </w:tc>
        <w:tc>
          <w:tcPr>
            <w:tcW w:w="2062" w:type="pct"/>
          </w:tcPr>
          <w:p w14:paraId="1E3B334E" w14:textId="77777777" w:rsidR="00810897" w:rsidRDefault="00810897" w:rsidP="00810897">
            <w:r>
              <w:t>Relevant work delivered and updates provided at relevant meetings</w:t>
            </w:r>
            <w:r>
              <w:tab/>
            </w:r>
            <w:r>
              <w:tab/>
            </w:r>
            <w:r>
              <w:tab/>
            </w:r>
          </w:p>
          <w:p w14:paraId="602BFB4B" w14:textId="77777777" w:rsidR="00810897" w:rsidRDefault="00810897" w:rsidP="00810897">
            <w:r>
              <w:tab/>
            </w:r>
            <w:r>
              <w:tab/>
            </w:r>
            <w:r>
              <w:tab/>
            </w:r>
          </w:p>
          <w:p w14:paraId="125462C9" w14:textId="77777777" w:rsidR="00810897" w:rsidRDefault="00810897" w:rsidP="00810897">
            <w:r>
              <w:t>Recorded on minutes of meetings reflecting discussion</w:t>
            </w:r>
            <w:r>
              <w:tab/>
            </w:r>
            <w:r>
              <w:tab/>
            </w:r>
          </w:p>
        </w:tc>
      </w:tr>
      <w:tr w:rsidR="00810897" w14:paraId="0ACF34D5" w14:textId="77777777" w:rsidTr="000C0EA7">
        <w:tc>
          <w:tcPr>
            <w:tcW w:w="1564" w:type="pct"/>
            <w:shd w:val="clear" w:color="auto" w:fill="auto"/>
          </w:tcPr>
          <w:p w14:paraId="25803E46" w14:textId="77777777" w:rsidR="00810897" w:rsidRDefault="00810897" w:rsidP="00810897">
            <w:r>
              <w:t>4. Regular review of HDC Safeguarding Policies to check they comply with statutory duty.</w:t>
            </w:r>
          </w:p>
          <w:p w14:paraId="43E1C7B0" w14:textId="77777777" w:rsidR="00810897" w:rsidRDefault="00810897" w:rsidP="00810897"/>
          <w:p w14:paraId="47B696FC" w14:textId="77777777" w:rsidR="00810897" w:rsidRDefault="00810897" w:rsidP="00810897"/>
        </w:tc>
        <w:tc>
          <w:tcPr>
            <w:tcW w:w="775" w:type="pct"/>
          </w:tcPr>
          <w:p w14:paraId="42CB188A" w14:textId="77777777" w:rsidR="00810897" w:rsidRDefault="00810897" w:rsidP="00810897">
            <w:r>
              <w:t xml:space="preserve">Safeguarding lead </w:t>
            </w:r>
          </w:p>
        </w:tc>
        <w:tc>
          <w:tcPr>
            <w:tcW w:w="599" w:type="pct"/>
          </w:tcPr>
          <w:p w14:paraId="04793B8E" w14:textId="77777777" w:rsidR="00810897" w:rsidRDefault="00810897" w:rsidP="00810897">
            <w:r>
              <w:t>ongoing</w:t>
            </w:r>
          </w:p>
        </w:tc>
        <w:tc>
          <w:tcPr>
            <w:tcW w:w="2062" w:type="pct"/>
          </w:tcPr>
          <w:p w14:paraId="39EE6CC3" w14:textId="77777777" w:rsidR="00810897" w:rsidRDefault="00810897" w:rsidP="00810897">
            <w:r>
              <w:t>C</w:t>
            </w:r>
            <w:r w:rsidRPr="002D5436">
              <w:t>lear and robust safeguarding policies in relation to Prevent</w:t>
            </w:r>
            <w:r>
              <w:t>.</w:t>
            </w:r>
          </w:p>
        </w:tc>
      </w:tr>
      <w:tr w:rsidR="00810897" w14:paraId="03680C26" w14:textId="77777777" w:rsidTr="000C0EA7">
        <w:tc>
          <w:tcPr>
            <w:tcW w:w="1564" w:type="pct"/>
            <w:shd w:val="clear" w:color="auto" w:fill="auto"/>
          </w:tcPr>
          <w:p w14:paraId="4A2A8780" w14:textId="77777777" w:rsidR="00810897" w:rsidRPr="00411A13" w:rsidRDefault="00810897" w:rsidP="00810897">
            <w:r w:rsidRPr="00CD779E">
              <w:t>5</w:t>
            </w:r>
            <w:r w:rsidRPr="00411A13">
              <w:t xml:space="preserve">.  Ensure publicly owned venues and allocated resources do not provide a platform for extremists via:              </w:t>
            </w:r>
          </w:p>
          <w:p w14:paraId="5C9D1536" w14:textId="77777777" w:rsidR="00810897" w:rsidRPr="00411A13" w:rsidRDefault="00810897" w:rsidP="00810897"/>
          <w:p w14:paraId="11439F0C" w14:textId="77777777" w:rsidR="00810897" w:rsidRPr="00411A13" w:rsidRDefault="00810897" w:rsidP="00810897">
            <w:r w:rsidRPr="00411A13">
              <w:lastRenderedPageBreak/>
              <w:t>a) Ensuring HDC venue hire</w:t>
            </w:r>
            <w:r>
              <w:t xml:space="preserve">/lease </w:t>
            </w:r>
            <w:r w:rsidRPr="00411A13">
              <w:t xml:space="preserve">agreements include info on appropriate use of venues -not for extremist activity                                  </w:t>
            </w:r>
          </w:p>
          <w:p w14:paraId="6A394E72" w14:textId="77777777" w:rsidR="00810897" w:rsidRDefault="00810897" w:rsidP="00810897"/>
          <w:p w14:paraId="3383695F" w14:textId="77777777" w:rsidR="00810897" w:rsidRPr="00411A13" w:rsidRDefault="00810897" w:rsidP="00810897"/>
          <w:p w14:paraId="536E21F3" w14:textId="77777777" w:rsidR="00810897" w:rsidRPr="00CD779E" w:rsidRDefault="00810897" w:rsidP="00810897">
            <w:r>
              <w:t>b</w:t>
            </w:r>
            <w:r w:rsidRPr="00CD779E">
              <w:t xml:space="preserve">) Including a statement in grant applications to ensure bids comply with HDC expectations                             </w:t>
            </w:r>
          </w:p>
          <w:p w14:paraId="43194935" w14:textId="77777777" w:rsidR="00810897" w:rsidRDefault="00810897" w:rsidP="00810897"/>
          <w:p w14:paraId="3C1A5F9B" w14:textId="77777777" w:rsidR="00810897" w:rsidRDefault="00810897" w:rsidP="00810897"/>
          <w:p w14:paraId="5AD27F9E" w14:textId="77777777" w:rsidR="00810897" w:rsidRPr="00CD779E" w:rsidRDefault="00810897" w:rsidP="00810897"/>
          <w:p w14:paraId="5876C715" w14:textId="7A280249" w:rsidR="00810897" w:rsidRPr="00CD779E" w:rsidRDefault="00810897" w:rsidP="00810897">
            <w:r>
              <w:t>c</w:t>
            </w:r>
            <w:r w:rsidRPr="00CD779E">
              <w:t xml:space="preserve">) Ensure that the principles of the duty are written </w:t>
            </w:r>
            <w:r w:rsidR="000C0EA7" w:rsidRPr="00CD779E">
              <w:t>into</w:t>
            </w:r>
            <w:r w:rsidRPr="00CD779E">
              <w:t xml:space="preserve"> new contracts for the delivery of services in a suitable form</w:t>
            </w:r>
            <w:r>
              <w:t xml:space="preserve"> </w:t>
            </w:r>
            <w:r w:rsidRPr="001D27D9">
              <w:rPr>
                <w:b/>
                <w:u w:val="single"/>
              </w:rPr>
              <w:t>where appropriate</w:t>
            </w:r>
            <w:r>
              <w:rPr>
                <w:b/>
                <w:u w:val="single"/>
              </w:rPr>
              <w:t>*</w:t>
            </w:r>
            <w:r>
              <w:t>: Agreed actions -</w:t>
            </w:r>
          </w:p>
          <w:p w14:paraId="5FC0660A" w14:textId="77777777" w:rsidR="00810897" w:rsidRPr="001D27D9" w:rsidRDefault="00810897" w:rsidP="00810897">
            <w:pPr>
              <w:numPr>
                <w:ilvl w:val="0"/>
                <w:numId w:val="3"/>
              </w:numPr>
            </w:pPr>
            <w:r w:rsidRPr="001D27D9">
              <w:t>Ensure that our revised Commissioning Strategy and Procurement SORP/guidance references the Prevent duty.</w:t>
            </w:r>
          </w:p>
          <w:p w14:paraId="73177FAC" w14:textId="77777777" w:rsidR="00810897" w:rsidRPr="001D27D9" w:rsidRDefault="00810897" w:rsidP="00810897">
            <w:pPr>
              <w:numPr>
                <w:ilvl w:val="0"/>
                <w:numId w:val="3"/>
              </w:numPr>
            </w:pPr>
            <w:r w:rsidRPr="001D27D9">
              <w:t>Seek to add a suitable c</w:t>
            </w:r>
            <w:r>
              <w:t>lause </w:t>
            </w:r>
            <w:r w:rsidRPr="001D27D9">
              <w:t>covering the principles of the duty in relevant new contracts.</w:t>
            </w:r>
          </w:p>
          <w:p w14:paraId="6789D4DB" w14:textId="77777777" w:rsidR="00810897" w:rsidRDefault="00810897" w:rsidP="00810897">
            <w:pPr>
              <w:numPr>
                <w:ilvl w:val="0"/>
                <w:numId w:val="3"/>
              </w:numPr>
            </w:pPr>
            <w:r w:rsidRPr="001D27D9">
              <w:t>Look at our current contracts to establish which ones would be relevant to the duty.</w:t>
            </w:r>
          </w:p>
          <w:p w14:paraId="2DB7BAA3" w14:textId="77777777" w:rsidR="00810897" w:rsidRPr="001D27D9" w:rsidRDefault="00810897" w:rsidP="00810897">
            <w:pPr>
              <w:ind w:left="720"/>
            </w:pPr>
          </w:p>
          <w:p w14:paraId="7C7FDA53" w14:textId="77777777" w:rsidR="00810897" w:rsidRPr="001D27D9" w:rsidRDefault="00810897" w:rsidP="00810897">
            <w:pPr>
              <w:autoSpaceDE w:val="0"/>
              <w:autoSpaceDN w:val="0"/>
              <w:rPr>
                <w:rFonts w:cs="Arial"/>
                <w:sz w:val="24"/>
                <w:szCs w:val="24"/>
              </w:rPr>
            </w:pPr>
            <w:r>
              <w:t>*</w:t>
            </w:r>
            <w:r w:rsidRPr="001D27D9">
              <w:t xml:space="preserve"> We have taken </w:t>
            </w:r>
            <w:r>
              <w:t xml:space="preserve">“appropriate” </w:t>
            </w:r>
            <w:r w:rsidRPr="001D27D9">
              <w:t>to mean those who work on the front line; so directly with young people and communities</w:t>
            </w:r>
            <w:r>
              <w:t>.</w:t>
            </w:r>
          </w:p>
          <w:p w14:paraId="4FE79D8F" w14:textId="77777777" w:rsidR="00810897" w:rsidRPr="001D27D9" w:rsidRDefault="00810897" w:rsidP="00810897"/>
          <w:p w14:paraId="03945716" w14:textId="77777777" w:rsidR="00810897" w:rsidRPr="00CD779E" w:rsidRDefault="00810897" w:rsidP="00810897">
            <w:r w:rsidRPr="00CD779E">
              <w:tab/>
            </w:r>
            <w:r w:rsidRPr="00CD779E">
              <w:tab/>
            </w:r>
          </w:p>
        </w:tc>
        <w:tc>
          <w:tcPr>
            <w:tcW w:w="775" w:type="pct"/>
          </w:tcPr>
          <w:p w14:paraId="6CDD9C30" w14:textId="77777777" w:rsidR="00810897" w:rsidRDefault="00810897" w:rsidP="00810897"/>
          <w:p w14:paraId="0CBDDC4B" w14:textId="77777777" w:rsidR="00810897" w:rsidRDefault="00810897" w:rsidP="00810897"/>
          <w:p w14:paraId="6AB8F0A7" w14:textId="77777777" w:rsidR="00810897" w:rsidRDefault="00810897" w:rsidP="00810897"/>
          <w:p w14:paraId="53F5147A" w14:textId="77777777" w:rsidR="00810897" w:rsidRDefault="00810897" w:rsidP="00810897"/>
          <w:p w14:paraId="7C1F760A" w14:textId="77777777" w:rsidR="00810897" w:rsidRDefault="00810897" w:rsidP="00810897"/>
          <w:p w14:paraId="5E006926" w14:textId="77777777" w:rsidR="00810897" w:rsidRDefault="00810897" w:rsidP="00810897">
            <w:pPr>
              <w:pStyle w:val="ListParagraph"/>
              <w:numPr>
                <w:ilvl w:val="0"/>
                <w:numId w:val="10"/>
              </w:numPr>
            </w:pPr>
            <w:r>
              <w:t>Assets Manager</w:t>
            </w:r>
          </w:p>
          <w:p w14:paraId="50CEB909" w14:textId="77777777" w:rsidR="00810897" w:rsidRDefault="00810897" w:rsidP="00810897"/>
          <w:p w14:paraId="259D6D21" w14:textId="77777777" w:rsidR="00810897" w:rsidRDefault="00810897" w:rsidP="00810897"/>
          <w:p w14:paraId="2370632E" w14:textId="77777777" w:rsidR="00810897" w:rsidRDefault="00810897" w:rsidP="00810897"/>
          <w:p w14:paraId="2999AD89" w14:textId="77777777" w:rsidR="00810897" w:rsidRDefault="00810897" w:rsidP="00810897">
            <w:pPr>
              <w:pStyle w:val="ListParagraph"/>
            </w:pPr>
          </w:p>
          <w:p w14:paraId="07A321BC" w14:textId="77777777" w:rsidR="00810897" w:rsidRDefault="00810897" w:rsidP="00810897">
            <w:pPr>
              <w:pStyle w:val="ListParagraph"/>
            </w:pPr>
          </w:p>
          <w:p w14:paraId="1851EF48" w14:textId="77777777" w:rsidR="00810897" w:rsidRDefault="00810897" w:rsidP="00810897">
            <w:pPr>
              <w:pStyle w:val="ListParagraph"/>
              <w:numPr>
                <w:ilvl w:val="0"/>
                <w:numId w:val="10"/>
              </w:numPr>
            </w:pPr>
            <w:r>
              <w:t>Parish Liaison and Community Facilities Development Officers</w:t>
            </w:r>
          </w:p>
          <w:p w14:paraId="1A5569A9" w14:textId="77777777" w:rsidR="00810897" w:rsidRDefault="00810897" w:rsidP="00810897"/>
          <w:p w14:paraId="59C33D54" w14:textId="77777777" w:rsidR="00810897" w:rsidRDefault="00810897" w:rsidP="00810897"/>
          <w:p w14:paraId="32149D8D" w14:textId="77777777" w:rsidR="00810897" w:rsidRDefault="00810897" w:rsidP="00810897">
            <w:pPr>
              <w:pStyle w:val="ListParagraph"/>
              <w:numPr>
                <w:ilvl w:val="0"/>
                <w:numId w:val="10"/>
              </w:numPr>
            </w:pPr>
            <w:r>
              <w:t>Procurement Manager.</w:t>
            </w:r>
          </w:p>
          <w:p w14:paraId="5BED027D" w14:textId="77777777" w:rsidR="00810897" w:rsidRDefault="00810897" w:rsidP="00810897">
            <w:pPr>
              <w:pStyle w:val="ListParagraph"/>
            </w:pPr>
          </w:p>
          <w:p w14:paraId="46D45502" w14:textId="77777777" w:rsidR="000C0EA7" w:rsidRDefault="00810897" w:rsidP="00810897">
            <w:pPr>
              <w:pStyle w:val="ListParagraph"/>
              <w:rPr>
                <w:b/>
                <w:bCs/>
              </w:rPr>
            </w:pPr>
            <w:r w:rsidRPr="00CD1E38">
              <w:rPr>
                <w:b/>
                <w:bCs/>
              </w:rPr>
              <w:t>Service/</w:t>
            </w:r>
          </w:p>
          <w:p w14:paraId="2E854E34" w14:textId="34FC1C3E" w:rsidR="00810897" w:rsidRDefault="00810897" w:rsidP="00810897">
            <w:pPr>
              <w:pStyle w:val="ListParagraph"/>
            </w:pPr>
            <w:r w:rsidRPr="00CD1E38">
              <w:rPr>
                <w:b/>
                <w:bCs/>
              </w:rPr>
              <w:t>operational managers to be responsible for identifying any relevant contracts</w:t>
            </w:r>
            <w:r>
              <w:t xml:space="preserve">. </w:t>
            </w:r>
          </w:p>
        </w:tc>
        <w:tc>
          <w:tcPr>
            <w:tcW w:w="599" w:type="pct"/>
          </w:tcPr>
          <w:p w14:paraId="4B15DDBB" w14:textId="77777777" w:rsidR="00810897" w:rsidRDefault="00810897" w:rsidP="00810897">
            <w:r>
              <w:lastRenderedPageBreak/>
              <w:t>Ongoing/officer time</w:t>
            </w:r>
          </w:p>
        </w:tc>
        <w:tc>
          <w:tcPr>
            <w:tcW w:w="2062" w:type="pct"/>
          </w:tcPr>
          <w:p w14:paraId="20E83BA8" w14:textId="77777777" w:rsidR="00810897" w:rsidRDefault="00810897" w:rsidP="00810897"/>
          <w:p w14:paraId="08456504" w14:textId="07ACCA10" w:rsidR="00810897" w:rsidRDefault="00810897" w:rsidP="00810897">
            <w:r w:rsidRPr="001E3930">
              <w:t>There is a venue hire</w:t>
            </w:r>
            <w:r>
              <w:t xml:space="preserve">/ </w:t>
            </w:r>
            <w:r w:rsidR="000C0EA7">
              <w:t xml:space="preserve">lease </w:t>
            </w:r>
            <w:r w:rsidR="000C0EA7" w:rsidRPr="001E3930">
              <w:t>policy</w:t>
            </w:r>
            <w:r w:rsidRPr="001E3930">
              <w:t xml:space="preserve"> in place, to ensure that premises are not used by radicalising influencers</w:t>
            </w:r>
            <w:r>
              <w:t>.</w:t>
            </w:r>
          </w:p>
          <w:p w14:paraId="6940FAC8" w14:textId="77777777" w:rsidR="00810897" w:rsidRDefault="00810897" w:rsidP="00810897"/>
          <w:p w14:paraId="7CE1AA90" w14:textId="77777777" w:rsidR="00810897" w:rsidRPr="00BF4DDA" w:rsidRDefault="00810897" w:rsidP="00810897">
            <w:r>
              <w:lastRenderedPageBreak/>
              <w:t>V</w:t>
            </w:r>
            <w:r w:rsidRPr="00BF4DDA">
              <w:t xml:space="preserve">enues </w:t>
            </w:r>
            <w:r>
              <w:t>have a</w:t>
            </w:r>
            <w:r w:rsidRPr="00BF4DDA">
              <w:t xml:space="preserve"> rigorous booking system in place and staff responsible for</w:t>
            </w:r>
          </w:p>
          <w:p w14:paraId="78594354" w14:textId="77777777" w:rsidR="00810897" w:rsidRPr="00BF4DDA" w:rsidRDefault="00810897" w:rsidP="00810897">
            <w:r w:rsidRPr="00BF4DDA">
              <w:t>them are trained to know what to do if they have suspicions</w:t>
            </w:r>
          </w:p>
          <w:p w14:paraId="1378F8CF" w14:textId="77777777" w:rsidR="00810897" w:rsidRPr="00563477" w:rsidRDefault="00810897" w:rsidP="00810897">
            <w:pPr>
              <w:rPr>
                <w:highlight w:val="yellow"/>
              </w:rPr>
            </w:pPr>
          </w:p>
          <w:p w14:paraId="22EDEA74" w14:textId="77777777" w:rsidR="00810897" w:rsidRPr="00411A13" w:rsidRDefault="00810897" w:rsidP="00810897">
            <w:r w:rsidRPr="00411A13">
              <w:t xml:space="preserve">Grants allocated by HDC are not given to </w:t>
            </w:r>
            <w:r>
              <w:t xml:space="preserve">be </w:t>
            </w:r>
            <w:r w:rsidRPr="00411A13">
              <w:t xml:space="preserve">used by radicalising influencers. </w:t>
            </w:r>
          </w:p>
          <w:p w14:paraId="1C482209" w14:textId="77777777" w:rsidR="00810897" w:rsidRPr="00563477" w:rsidRDefault="00810897" w:rsidP="00810897">
            <w:pPr>
              <w:rPr>
                <w:highlight w:val="yellow"/>
              </w:rPr>
            </w:pPr>
          </w:p>
          <w:p w14:paraId="164E6819" w14:textId="77777777" w:rsidR="00810897" w:rsidRDefault="00810897" w:rsidP="00810897"/>
          <w:p w14:paraId="58FC3CBB" w14:textId="77777777" w:rsidR="00810897" w:rsidRDefault="00810897" w:rsidP="00810897">
            <w:r>
              <w:t xml:space="preserve">Relevant contracts include statement or clause around section 26 of counter terrorism act. </w:t>
            </w:r>
          </w:p>
          <w:p w14:paraId="5FB2ADDE" w14:textId="77777777" w:rsidR="00810897" w:rsidRDefault="00810897" w:rsidP="00810897">
            <w:r>
              <w:tab/>
            </w:r>
            <w:r>
              <w:tab/>
            </w:r>
            <w:r>
              <w:tab/>
            </w:r>
          </w:p>
          <w:p w14:paraId="64C518FA" w14:textId="77777777" w:rsidR="00810897" w:rsidRDefault="00810897" w:rsidP="00810897">
            <w:r>
              <w:tab/>
            </w:r>
            <w:r>
              <w:tab/>
            </w:r>
            <w:r>
              <w:tab/>
            </w:r>
          </w:p>
          <w:p w14:paraId="785C2E45" w14:textId="77777777" w:rsidR="00810897" w:rsidRDefault="00810897" w:rsidP="00810897">
            <w:r>
              <w:tab/>
            </w:r>
            <w:r>
              <w:tab/>
            </w:r>
            <w:r>
              <w:tab/>
            </w:r>
          </w:p>
        </w:tc>
      </w:tr>
      <w:tr w:rsidR="00810897" w14:paraId="68A3CC3C" w14:textId="77777777" w:rsidTr="000C0EA7">
        <w:tc>
          <w:tcPr>
            <w:tcW w:w="1564" w:type="pct"/>
            <w:shd w:val="clear" w:color="auto" w:fill="auto"/>
          </w:tcPr>
          <w:p w14:paraId="49A6C3AE" w14:textId="77777777" w:rsidR="00810897" w:rsidRDefault="00810897" w:rsidP="00810897">
            <w:r w:rsidRPr="00CD779E">
              <w:lastRenderedPageBreak/>
              <w:t xml:space="preserve">6.  Use our best endeavours to liaise with organisations that are supported by HDC to ensure they are not engaged in any form of </w:t>
            </w:r>
            <w:r w:rsidRPr="00CD779E">
              <w:lastRenderedPageBreak/>
              <w:t xml:space="preserve">extremist activities. </w:t>
            </w:r>
          </w:p>
          <w:p w14:paraId="1DADB4B1" w14:textId="77777777" w:rsidR="00810897" w:rsidRPr="00CD779E" w:rsidRDefault="00810897" w:rsidP="00810897">
            <w:r w:rsidRPr="00CD779E">
              <w:t>To highlight to all organisations supported by HDC what our expectations in relation to extremist behaviour</w:t>
            </w:r>
            <w:r w:rsidRPr="00CD779E">
              <w:tab/>
            </w:r>
          </w:p>
        </w:tc>
        <w:tc>
          <w:tcPr>
            <w:tcW w:w="775" w:type="pct"/>
          </w:tcPr>
          <w:p w14:paraId="2BF9B2E8" w14:textId="77777777" w:rsidR="00810897" w:rsidRDefault="00810897" w:rsidP="00810897">
            <w:r>
              <w:lastRenderedPageBreak/>
              <w:t xml:space="preserve">Community Partnerships Manager and Health and </w:t>
            </w:r>
            <w:r>
              <w:lastRenderedPageBreak/>
              <w:t>Wellbeing Manager.</w:t>
            </w:r>
          </w:p>
          <w:p w14:paraId="2551487F" w14:textId="77777777" w:rsidR="00810897" w:rsidRDefault="00810897" w:rsidP="00810897"/>
        </w:tc>
        <w:tc>
          <w:tcPr>
            <w:tcW w:w="599" w:type="pct"/>
          </w:tcPr>
          <w:p w14:paraId="3A56FE4A" w14:textId="77777777" w:rsidR="00810897" w:rsidRDefault="00810897" w:rsidP="00810897">
            <w:r>
              <w:lastRenderedPageBreak/>
              <w:t>On going</w:t>
            </w:r>
          </w:p>
        </w:tc>
        <w:tc>
          <w:tcPr>
            <w:tcW w:w="2062" w:type="pct"/>
          </w:tcPr>
          <w:p w14:paraId="366621AB" w14:textId="77777777" w:rsidR="00810897" w:rsidRDefault="00810897" w:rsidP="00810897">
            <w:r>
              <w:t>Review as part of any annual SLAs.</w:t>
            </w:r>
          </w:p>
          <w:p w14:paraId="07266D39" w14:textId="77777777" w:rsidR="00810897" w:rsidRDefault="00810897" w:rsidP="00810897"/>
          <w:p w14:paraId="6838DDD9" w14:textId="77777777" w:rsidR="00810897" w:rsidRDefault="00810897" w:rsidP="00810897">
            <w:r>
              <w:t>All organisations are aware of their responsibilities</w:t>
            </w:r>
          </w:p>
        </w:tc>
      </w:tr>
      <w:tr w:rsidR="00810897" w14:paraId="01755AB9" w14:textId="77777777" w:rsidTr="000C0EA7">
        <w:tc>
          <w:tcPr>
            <w:tcW w:w="1564" w:type="pct"/>
            <w:shd w:val="clear" w:color="auto" w:fill="auto"/>
          </w:tcPr>
          <w:p w14:paraId="6EDF040B" w14:textId="77777777" w:rsidR="00810897" w:rsidRDefault="00810897" w:rsidP="00810897">
            <w:r>
              <w:t>7. a) ICT to identify what information can be accessed via internal and reception computers - considering whether IT equipment available to the general public should use filtering solutions that limit access to terrorist and extremist material.</w:t>
            </w:r>
          </w:p>
          <w:p w14:paraId="7CAB0990" w14:textId="77777777" w:rsidR="00810897" w:rsidRDefault="00810897" w:rsidP="00810897">
            <w:r>
              <w:t>b) Identify what measures can be put in place to prevent access to extremist materials and by when.</w:t>
            </w:r>
          </w:p>
          <w:p w14:paraId="489AC4FC" w14:textId="77777777" w:rsidR="00810897" w:rsidRDefault="00810897" w:rsidP="00810897"/>
          <w:p w14:paraId="7483D222" w14:textId="77777777" w:rsidR="00810897" w:rsidRDefault="00810897" w:rsidP="00810897"/>
        </w:tc>
        <w:tc>
          <w:tcPr>
            <w:tcW w:w="775" w:type="pct"/>
          </w:tcPr>
          <w:p w14:paraId="00215359" w14:textId="77777777" w:rsidR="00810897" w:rsidRDefault="00810897" w:rsidP="00810897">
            <w:r>
              <w:t>ICT Manager</w:t>
            </w:r>
          </w:p>
          <w:p w14:paraId="19872D83" w14:textId="77777777" w:rsidR="00810897" w:rsidRDefault="00810897" w:rsidP="00810897"/>
        </w:tc>
        <w:tc>
          <w:tcPr>
            <w:tcW w:w="599" w:type="pct"/>
          </w:tcPr>
          <w:p w14:paraId="71E9CC8F" w14:textId="77777777" w:rsidR="00810897" w:rsidRDefault="00810897" w:rsidP="00810897">
            <w:r>
              <w:t>On going</w:t>
            </w:r>
          </w:p>
        </w:tc>
        <w:tc>
          <w:tcPr>
            <w:tcW w:w="2062" w:type="pct"/>
          </w:tcPr>
          <w:p w14:paraId="31598D95" w14:textId="77777777" w:rsidR="00810897" w:rsidRDefault="00810897" w:rsidP="00810897">
            <w:r>
              <w:t xml:space="preserve">There is an </w:t>
            </w:r>
            <w:r w:rsidRPr="00AB5DE6">
              <w:t>effective IT policy in place to prevent the access of extremist materials by users of networks.</w:t>
            </w:r>
          </w:p>
          <w:p w14:paraId="53994DF1" w14:textId="77777777" w:rsidR="00810897" w:rsidRDefault="00810897" w:rsidP="00810897"/>
          <w:p w14:paraId="3B4FF4F6" w14:textId="77777777" w:rsidR="00810897" w:rsidRDefault="00810897" w:rsidP="00810897"/>
          <w:p w14:paraId="0575561D" w14:textId="77777777" w:rsidR="00810897" w:rsidRDefault="00810897" w:rsidP="00810897">
            <w:r>
              <w:t>Reviewed on an annual basis.</w:t>
            </w:r>
          </w:p>
        </w:tc>
      </w:tr>
      <w:tr w:rsidR="00810897" w14:paraId="543DF9F0" w14:textId="77777777" w:rsidTr="000C0EA7">
        <w:tc>
          <w:tcPr>
            <w:tcW w:w="1564" w:type="pct"/>
            <w:shd w:val="clear" w:color="auto" w:fill="auto"/>
          </w:tcPr>
          <w:p w14:paraId="0E2629ED" w14:textId="77777777" w:rsidR="00810897" w:rsidRDefault="00810897" w:rsidP="00810897">
            <w:r>
              <w:t>8. Ensure appropriate frontline staff, including those of contractors (where appropriate), have a good understanding of Prevent via:</w:t>
            </w:r>
          </w:p>
          <w:p w14:paraId="69231DD9" w14:textId="77777777" w:rsidR="00810897" w:rsidRDefault="00810897" w:rsidP="00810897"/>
          <w:p w14:paraId="033CEE62" w14:textId="77777777" w:rsidR="00810897" w:rsidRDefault="00810897" w:rsidP="00810897">
            <w:pPr>
              <w:pStyle w:val="ListParagraph"/>
              <w:numPr>
                <w:ilvl w:val="0"/>
                <w:numId w:val="5"/>
              </w:numPr>
            </w:pPr>
            <w:r>
              <w:t>Compulsory Online training for new starters</w:t>
            </w:r>
          </w:p>
          <w:p w14:paraId="5391C79E" w14:textId="77777777" w:rsidR="00810897" w:rsidRDefault="00810897" w:rsidP="00810897">
            <w:pPr>
              <w:pStyle w:val="ListParagraph"/>
              <w:numPr>
                <w:ilvl w:val="0"/>
                <w:numId w:val="5"/>
              </w:numPr>
            </w:pPr>
            <w:r>
              <w:t>Prevent part of Gold HDC Safeguarding training which is delivered to frontline staff from 2019</w:t>
            </w:r>
          </w:p>
          <w:p w14:paraId="1AA3E413" w14:textId="77777777" w:rsidR="00810897" w:rsidRDefault="00810897" w:rsidP="00810897">
            <w:pPr>
              <w:pStyle w:val="ListParagraph"/>
              <w:numPr>
                <w:ilvl w:val="0"/>
                <w:numId w:val="5"/>
              </w:numPr>
            </w:pPr>
            <w:r>
              <w:t>Including an element of Prevent awareness in Cllr inductions</w:t>
            </w:r>
          </w:p>
          <w:p w14:paraId="1C71780F" w14:textId="77777777" w:rsidR="00810897" w:rsidRDefault="00810897" w:rsidP="00810897">
            <w:pPr>
              <w:pStyle w:val="ListParagraph"/>
              <w:numPr>
                <w:ilvl w:val="0"/>
                <w:numId w:val="5"/>
              </w:numPr>
            </w:pPr>
            <w:r>
              <w:t>Specific Prevent Training to DSOs and groups as required .</w:t>
            </w:r>
            <w:r>
              <w:tab/>
            </w:r>
            <w:r>
              <w:tab/>
            </w:r>
          </w:p>
        </w:tc>
        <w:tc>
          <w:tcPr>
            <w:tcW w:w="775" w:type="pct"/>
          </w:tcPr>
          <w:p w14:paraId="4817920B" w14:textId="77777777" w:rsidR="00810897" w:rsidRDefault="00810897" w:rsidP="00810897"/>
          <w:p w14:paraId="4B4A8B7C" w14:textId="77777777" w:rsidR="00810897" w:rsidRDefault="00810897" w:rsidP="00810897"/>
          <w:p w14:paraId="05D5E593" w14:textId="77777777" w:rsidR="00810897" w:rsidRDefault="00810897" w:rsidP="00810897"/>
          <w:p w14:paraId="79D4DD7D" w14:textId="77777777" w:rsidR="00810897" w:rsidRDefault="00810897" w:rsidP="00810897"/>
          <w:p w14:paraId="7642013D" w14:textId="77777777" w:rsidR="00810897" w:rsidRDefault="00810897" w:rsidP="00810897"/>
          <w:p w14:paraId="5D3672AD" w14:textId="77777777" w:rsidR="00810897" w:rsidRDefault="00810897" w:rsidP="00810897"/>
          <w:p w14:paraId="0CDA37E2" w14:textId="77777777" w:rsidR="00810897" w:rsidRDefault="00810897" w:rsidP="00810897">
            <w:r>
              <w:t>Safeguarding Lead and Community Safety Manager</w:t>
            </w:r>
          </w:p>
          <w:p w14:paraId="2A9E9532" w14:textId="77777777" w:rsidR="00810897" w:rsidRDefault="00810897" w:rsidP="00810897"/>
          <w:p w14:paraId="20CE6C91" w14:textId="77777777" w:rsidR="00810897" w:rsidRDefault="00810897" w:rsidP="00810897"/>
          <w:p w14:paraId="2A27C281" w14:textId="77777777" w:rsidR="00810897" w:rsidRDefault="00810897" w:rsidP="00810897"/>
          <w:p w14:paraId="525DA1CF" w14:textId="77777777" w:rsidR="00810897" w:rsidRDefault="00810897" w:rsidP="00810897"/>
          <w:p w14:paraId="6D155EF5" w14:textId="77777777" w:rsidR="00810897" w:rsidRDefault="00810897" w:rsidP="00810897">
            <w:r>
              <w:t>Democratic Services</w:t>
            </w:r>
          </w:p>
          <w:p w14:paraId="67E8D842" w14:textId="77777777" w:rsidR="00810897" w:rsidRDefault="00810897" w:rsidP="00810897"/>
          <w:p w14:paraId="6ABD5489" w14:textId="77777777" w:rsidR="00810897" w:rsidRDefault="00810897" w:rsidP="00810897">
            <w:r>
              <w:t>Human Resources</w:t>
            </w:r>
          </w:p>
        </w:tc>
        <w:tc>
          <w:tcPr>
            <w:tcW w:w="599" w:type="pct"/>
          </w:tcPr>
          <w:p w14:paraId="7C60EF92" w14:textId="77777777" w:rsidR="00810897" w:rsidRDefault="00810897" w:rsidP="00810897">
            <w:r>
              <w:t>Ongoing – regular Safeguarding Training sessions planned in</w:t>
            </w:r>
          </w:p>
        </w:tc>
        <w:tc>
          <w:tcPr>
            <w:tcW w:w="2062" w:type="pct"/>
          </w:tcPr>
          <w:p w14:paraId="2DD3B225" w14:textId="77777777" w:rsidR="00810897" w:rsidRDefault="00810897" w:rsidP="00810897"/>
          <w:p w14:paraId="2D6603E5" w14:textId="77777777" w:rsidR="00810897" w:rsidRDefault="00810897" w:rsidP="00810897"/>
          <w:p w14:paraId="3DB0227C" w14:textId="77777777" w:rsidR="00810897" w:rsidRDefault="00810897" w:rsidP="00810897"/>
          <w:p w14:paraId="2927D507" w14:textId="77777777" w:rsidR="00810897" w:rsidRDefault="00810897" w:rsidP="00810897">
            <w:r>
              <w:t>Number of staff trained.</w:t>
            </w:r>
          </w:p>
          <w:p w14:paraId="7824292F" w14:textId="77777777" w:rsidR="00810897" w:rsidRDefault="00810897" w:rsidP="00810897"/>
          <w:p w14:paraId="1E4CE065" w14:textId="77777777" w:rsidR="00810897" w:rsidRDefault="00810897" w:rsidP="00810897">
            <w:r>
              <w:t>Number of Cllrs trained.</w:t>
            </w:r>
          </w:p>
          <w:p w14:paraId="064940F6" w14:textId="77777777" w:rsidR="00810897" w:rsidRDefault="00810897" w:rsidP="00810897"/>
          <w:p w14:paraId="434DCEAC" w14:textId="77777777" w:rsidR="00810897" w:rsidRDefault="00810897" w:rsidP="00810897">
            <w:r>
              <w:t>100% new starters have safeguarding training</w:t>
            </w:r>
          </w:p>
          <w:p w14:paraId="1AFE63E5" w14:textId="77777777" w:rsidR="00810897" w:rsidRDefault="00810897" w:rsidP="00810897"/>
          <w:p w14:paraId="2C4AFFA4" w14:textId="77777777" w:rsidR="00810897" w:rsidRDefault="00810897" w:rsidP="00810897">
            <w:r>
              <w:t>Number of Cllrs attending awareness sessions %</w:t>
            </w:r>
          </w:p>
        </w:tc>
      </w:tr>
      <w:tr w:rsidR="00810897" w14:paraId="1F6428B6" w14:textId="77777777" w:rsidTr="000C0EA7">
        <w:tc>
          <w:tcPr>
            <w:tcW w:w="1564" w:type="pct"/>
            <w:shd w:val="clear" w:color="auto" w:fill="auto"/>
          </w:tcPr>
          <w:p w14:paraId="68AA5157" w14:textId="77777777" w:rsidR="00810897" w:rsidRPr="00CD779E" w:rsidRDefault="00810897" w:rsidP="00810897">
            <w:r w:rsidRPr="00CD779E">
              <w:t xml:space="preserve">9.  Arrange regular awareness events </w:t>
            </w:r>
            <w:r>
              <w:t xml:space="preserve">and communications to </w:t>
            </w:r>
            <w:r w:rsidRPr="00CD779E">
              <w:t xml:space="preserve">community based </w:t>
            </w:r>
            <w:r w:rsidRPr="00CD779E">
              <w:lastRenderedPageBreak/>
              <w:t xml:space="preserve">organisations to highlight or address any concerns around radicalisation - e.g. links with Parish Councils. </w:t>
            </w:r>
            <w:r w:rsidRPr="00CD779E">
              <w:tab/>
            </w:r>
          </w:p>
        </w:tc>
        <w:tc>
          <w:tcPr>
            <w:tcW w:w="775" w:type="pct"/>
          </w:tcPr>
          <w:p w14:paraId="68FF58AF" w14:textId="77777777" w:rsidR="00810897" w:rsidRDefault="00810897" w:rsidP="00810897">
            <w:r w:rsidRPr="00CD779E">
              <w:lastRenderedPageBreak/>
              <w:t>Community Safety Officer</w:t>
            </w:r>
            <w:r>
              <w:t>s</w:t>
            </w:r>
          </w:p>
          <w:p w14:paraId="26FA28DD" w14:textId="77777777" w:rsidR="00810897" w:rsidRDefault="00810897" w:rsidP="00810897"/>
          <w:p w14:paraId="65FE605A" w14:textId="77777777" w:rsidR="00810897" w:rsidRDefault="00810897" w:rsidP="00810897"/>
          <w:p w14:paraId="6AC35421" w14:textId="77777777" w:rsidR="00810897" w:rsidRDefault="00810897" w:rsidP="00810897"/>
          <w:p w14:paraId="627F645B" w14:textId="77777777" w:rsidR="00810897" w:rsidRDefault="00810897" w:rsidP="00810897"/>
          <w:p w14:paraId="4C39E640" w14:textId="77777777" w:rsidR="00810897" w:rsidRDefault="00810897" w:rsidP="00810897"/>
          <w:p w14:paraId="6443145E" w14:textId="77777777" w:rsidR="00810897" w:rsidRPr="00CD779E" w:rsidRDefault="00810897" w:rsidP="00810897"/>
        </w:tc>
        <w:tc>
          <w:tcPr>
            <w:tcW w:w="599" w:type="pct"/>
          </w:tcPr>
          <w:p w14:paraId="7C71424C" w14:textId="77777777" w:rsidR="00810897" w:rsidRDefault="00810897" w:rsidP="00810897"/>
        </w:tc>
        <w:tc>
          <w:tcPr>
            <w:tcW w:w="2062" w:type="pct"/>
          </w:tcPr>
          <w:p w14:paraId="200949E2" w14:textId="77777777" w:rsidR="00810897" w:rsidRDefault="00810897" w:rsidP="00810897">
            <w:r w:rsidRPr="001C216D">
              <w:t xml:space="preserve">There is engagement with a range of communities and civil society groups, both faith-based and secular, to encourage an </w:t>
            </w:r>
            <w:r w:rsidRPr="001C216D">
              <w:lastRenderedPageBreak/>
              <w:t>open and transparent dialogue on the Prevent Duty.</w:t>
            </w:r>
          </w:p>
        </w:tc>
      </w:tr>
      <w:tr w:rsidR="00810897" w14:paraId="4ADCCB61" w14:textId="77777777" w:rsidTr="000C0EA7">
        <w:tc>
          <w:tcPr>
            <w:tcW w:w="1564" w:type="pct"/>
            <w:shd w:val="clear" w:color="auto" w:fill="auto"/>
          </w:tcPr>
          <w:p w14:paraId="607A9E24" w14:textId="77777777" w:rsidR="00810897" w:rsidRPr="00CD779E" w:rsidRDefault="00810897" w:rsidP="00810897">
            <w:r>
              <w:lastRenderedPageBreak/>
              <w:t xml:space="preserve">10. </w:t>
            </w:r>
            <w:r w:rsidRPr="00D64885">
              <w:t>There is a communications plan in place to proactively communicate and increase transparency of the reality / impact of Prevent work, and support frontline staff and communities to understand what Prevent looks like in practice</w:t>
            </w:r>
          </w:p>
        </w:tc>
        <w:tc>
          <w:tcPr>
            <w:tcW w:w="775" w:type="pct"/>
          </w:tcPr>
          <w:p w14:paraId="5B11A49E" w14:textId="77777777" w:rsidR="00810897" w:rsidRPr="00CD779E" w:rsidRDefault="00810897" w:rsidP="00810897">
            <w:r>
              <w:t>Community Safety officers</w:t>
            </w:r>
          </w:p>
        </w:tc>
        <w:tc>
          <w:tcPr>
            <w:tcW w:w="599" w:type="pct"/>
          </w:tcPr>
          <w:p w14:paraId="4EE51D8F" w14:textId="77777777" w:rsidR="00810897" w:rsidRDefault="00810897" w:rsidP="00810897"/>
        </w:tc>
        <w:tc>
          <w:tcPr>
            <w:tcW w:w="2062" w:type="pct"/>
          </w:tcPr>
          <w:p w14:paraId="46ABE0D3" w14:textId="77777777" w:rsidR="00810897" w:rsidRDefault="00810897" w:rsidP="00810897">
            <w:r>
              <w:t>Campaigns are promoted to relevant staff and Communities.</w:t>
            </w:r>
          </w:p>
        </w:tc>
      </w:tr>
    </w:tbl>
    <w:p w14:paraId="31918D9E" w14:textId="77777777" w:rsidR="00301572" w:rsidRDefault="00301572" w:rsidP="00CD779E"/>
    <w:sectPr w:rsidR="00301572" w:rsidSect="000D2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78D47" w14:textId="77777777" w:rsidR="00F13F77" w:rsidRDefault="00F13F77" w:rsidP="00F13F77">
      <w:pPr>
        <w:spacing w:after="0" w:line="240" w:lineRule="auto"/>
      </w:pPr>
      <w:r>
        <w:separator/>
      </w:r>
    </w:p>
  </w:endnote>
  <w:endnote w:type="continuationSeparator" w:id="0">
    <w:p w14:paraId="7C56EE17" w14:textId="77777777" w:rsidR="00F13F77" w:rsidRDefault="00F13F77" w:rsidP="00F13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AFEFB" w14:textId="77777777" w:rsidR="00F13F77" w:rsidRDefault="00F13F77" w:rsidP="00F13F77">
      <w:pPr>
        <w:spacing w:after="0" w:line="240" w:lineRule="auto"/>
      </w:pPr>
      <w:r>
        <w:separator/>
      </w:r>
    </w:p>
  </w:footnote>
  <w:footnote w:type="continuationSeparator" w:id="0">
    <w:p w14:paraId="4B8AF1F2" w14:textId="77777777" w:rsidR="00F13F77" w:rsidRDefault="00F13F77" w:rsidP="00F13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5F2"/>
    <w:multiLevelType w:val="hybridMultilevel"/>
    <w:tmpl w:val="FF5041B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8E3C4D"/>
    <w:multiLevelType w:val="hybridMultilevel"/>
    <w:tmpl w:val="779C10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B63497"/>
    <w:multiLevelType w:val="hybridMultilevel"/>
    <w:tmpl w:val="57F602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286CB1"/>
    <w:multiLevelType w:val="hybridMultilevel"/>
    <w:tmpl w:val="06CC14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9F013D2"/>
    <w:multiLevelType w:val="hybridMultilevel"/>
    <w:tmpl w:val="ABE609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F78C3"/>
    <w:multiLevelType w:val="hybridMultilevel"/>
    <w:tmpl w:val="A462F78C"/>
    <w:lvl w:ilvl="0" w:tplc="C86A16F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DB56E8"/>
    <w:multiLevelType w:val="hybridMultilevel"/>
    <w:tmpl w:val="05E2E888"/>
    <w:lvl w:ilvl="0" w:tplc="BC64F61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273339"/>
    <w:multiLevelType w:val="hybridMultilevel"/>
    <w:tmpl w:val="AF4A5708"/>
    <w:lvl w:ilvl="0" w:tplc="2C6A3722">
      <w:start w:val="1"/>
      <w:numFmt w:val="bullet"/>
      <w:lvlText w:val="o"/>
      <w:lvlJc w:val="left"/>
      <w:pPr>
        <w:ind w:left="1080" w:hanging="360"/>
      </w:pPr>
      <w:rPr>
        <w:rFonts w:ascii="Courier New" w:hAnsi="Courier New" w:cs="Courier New"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74965A1"/>
    <w:multiLevelType w:val="hybridMultilevel"/>
    <w:tmpl w:val="52C6D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206A85"/>
    <w:multiLevelType w:val="hybridMultilevel"/>
    <w:tmpl w:val="D3829F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2"/>
  </w:num>
  <w:num w:numId="6">
    <w:abstractNumId w:val="7"/>
  </w:num>
  <w:num w:numId="7">
    <w:abstractNumId w:val="8"/>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277D"/>
    <w:rsid w:val="00001393"/>
    <w:rsid w:val="00005455"/>
    <w:rsid w:val="00047A00"/>
    <w:rsid w:val="000A17F9"/>
    <w:rsid w:val="000A3E83"/>
    <w:rsid w:val="000A4B46"/>
    <w:rsid w:val="000A5C65"/>
    <w:rsid w:val="000B3134"/>
    <w:rsid w:val="000C0EA7"/>
    <w:rsid w:val="000D277D"/>
    <w:rsid w:val="00116E73"/>
    <w:rsid w:val="0011748A"/>
    <w:rsid w:val="00120D58"/>
    <w:rsid w:val="00142FD2"/>
    <w:rsid w:val="00167F20"/>
    <w:rsid w:val="00176CB8"/>
    <w:rsid w:val="00196B0D"/>
    <w:rsid w:val="001C0F2F"/>
    <w:rsid w:val="001C216D"/>
    <w:rsid w:val="001C6792"/>
    <w:rsid w:val="001D27D9"/>
    <w:rsid w:val="001E0ECF"/>
    <w:rsid w:val="001E3930"/>
    <w:rsid w:val="00223A84"/>
    <w:rsid w:val="00227BF0"/>
    <w:rsid w:val="00227FC3"/>
    <w:rsid w:val="0023065A"/>
    <w:rsid w:val="00230A3D"/>
    <w:rsid w:val="002332AA"/>
    <w:rsid w:val="0023376D"/>
    <w:rsid w:val="00237026"/>
    <w:rsid w:val="0027130A"/>
    <w:rsid w:val="0027269D"/>
    <w:rsid w:val="002945BC"/>
    <w:rsid w:val="00294DEB"/>
    <w:rsid w:val="002B03D7"/>
    <w:rsid w:val="002D5436"/>
    <w:rsid w:val="002E1D90"/>
    <w:rsid w:val="002E4095"/>
    <w:rsid w:val="00301572"/>
    <w:rsid w:val="003020EA"/>
    <w:rsid w:val="00345897"/>
    <w:rsid w:val="003517D8"/>
    <w:rsid w:val="003D4687"/>
    <w:rsid w:val="003E2EDB"/>
    <w:rsid w:val="004018AC"/>
    <w:rsid w:val="00407DFE"/>
    <w:rsid w:val="00411A13"/>
    <w:rsid w:val="00422154"/>
    <w:rsid w:val="00435D93"/>
    <w:rsid w:val="00493F89"/>
    <w:rsid w:val="004A47F9"/>
    <w:rsid w:val="004C178A"/>
    <w:rsid w:val="004D561A"/>
    <w:rsid w:val="004F5004"/>
    <w:rsid w:val="004F5325"/>
    <w:rsid w:val="0053558D"/>
    <w:rsid w:val="00563477"/>
    <w:rsid w:val="0056701D"/>
    <w:rsid w:val="005C47C9"/>
    <w:rsid w:val="005D1C17"/>
    <w:rsid w:val="0060323D"/>
    <w:rsid w:val="00617718"/>
    <w:rsid w:val="00632910"/>
    <w:rsid w:val="0064538B"/>
    <w:rsid w:val="006468A4"/>
    <w:rsid w:val="00646C19"/>
    <w:rsid w:val="006625C4"/>
    <w:rsid w:val="0068479D"/>
    <w:rsid w:val="0073184B"/>
    <w:rsid w:val="007468A1"/>
    <w:rsid w:val="00750894"/>
    <w:rsid w:val="00765657"/>
    <w:rsid w:val="007836CA"/>
    <w:rsid w:val="00783BF6"/>
    <w:rsid w:val="0078569C"/>
    <w:rsid w:val="00787C5F"/>
    <w:rsid w:val="007A612F"/>
    <w:rsid w:val="007C07F4"/>
    <w:rsid w:val="007C7619"/>
    <w:rsid w:val="00810897"/>
    <w:rsid w:val="00847026"/>
    <w:rsid w:val="008470EC"/>
    <w:rsid w:val="00865AC7"/>
    <w:rsid w:val="00896C5A"/>
    <w:rsid w:val="008A085E"/>
    <w:rsid w:val="008C09A4"/>
    <w:rsid w:val="008E0C83"/>
    <w:rsid w:val="00915627"/>
    <w:rsid w:val="0094034D"/>
    <w:rsid w:val="009445A7"/>
    <w:rsid w:val="00946000"/>
    <w:rsid w:val="00951BE5"/>
    <w:rsid w:val="00966A8A"/>
    <w:rsid w:val="009F28FC"/>
    <w:rsid w:val="009F522E"/>
    <w:rsid w:val="00A0114F"/>
    <w:rsid w:val="00A27635"/>
    <w:rsid w:val="00A34472"/>
    <w:rsid w:val="00A67F28"/>
    <w:rsid w:val="00A835F1"/>
    <w:rsid w:val="00AB5DE6"/>
    <w:rsid w:val="00AC37BC"/>
    <w:rsid w:val="00AE1624"/>
    <w:rsid w:val="00B20077"/>
    <w:rsid w:val="00B457CE"/>
    <w:rsid w:val="00B54DF4"/>
    <w:rsid w:val="00B77627"/>
    <w:rsid w:val="00B829E5"/>
    <w:rsid w:val="00B96F44"/>
    <w:rsid w:val="00BA0769"/>
    <w:rsid w:val="00BD25D4"/>
    <w:rsid w:val="00BF295F"/>
    <w:rsid w:val="00BF4DDA"/>
    <w:rsid w:val="00C24B1E"/>
    <w:rsid w:val="00C44F93"/>
    <w:rsid w:val="00C500CF"/>
    <w:rsid w:val="00C520B6"/>
    <w:rsid w:val="00C86B51"/>
    <w:rsid w:val="00C86F4F"/>
    <w:rsid w:val="00CB06C8"/>
    <w:rsid w:val="00CD1E38"/>
    <w:rsid w:val="00CD779E"/>
    <w:rsid w:val="00D16BEF"/>
    <w:rsid w:val="00D20833"/>
    <w:rsid w:val="00D3489F"/>
    <w:rsid w:val="00D3755B"/>
    <w:rsid w:val="00D4267D"/>
    <w:rsid w:val="00D576CD"/>
    <w:rsid w:val="00D64885"/>
    <w:rsid w:val="00D712AD"/>
    <w:rsid w:val="00DF2018"/>
    <w:rsid w:val="00E10D87"/>
    <w:rsid w:val="00E26C22"/>
    <w:rsid w:val="00E31306"/>
    <w:rsid w:val="00E41579"/>
    <w:rsid w:val="00E75A0E"/>
    <w:rsid w:val="00E75C2B"/>
    <w:rsid w:val="00E7605F"/>
    <w:rsid w:val="00E81B79"/>
    <w:rsid w:val="00E94E02"/>
    <w:rsid w:val="00EB0194"/>
    <w:rsid w:val="00EC59CC"/>
    <w:rsid w:val="00F13F77"/>
    <w:rsid w:val="00F165C1"/>
    <w:rsid w:val="00F35386"/>
    <w:rsid w:val="00F661F7"/>
    <w:rsid w:val="00F7045C"/>
    <w:rsid w:val="00F8079E"/>
    <w:rsid w:val="00F94E59"/>
    <w:rsid w:val="00FA31BD"/>
    <w:rsid w:val="00FB2DDE"/>
    <w:rsid w:val="00FB526C"/>
    <w:rsid w:val="00FC451F"/>
    <w:rsid w:val="00FD1211"/>
    <w:rsid w:val="00FD7752"/>
    <w:rsid w:val="00FE5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3C3E91"/>
  <w15:docId w15:val="{F513B12C-D600-4C31-A172-A18163F7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08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108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108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1572"/>
    <w:pPr>
      <w:ind w:left="720"/>
      <w:contextualSpacing/>
    </w:pPr>
  </w:style>
  <w:style w:type="character" w:styleId="Hyperlink">
    <w:name w:val="Hyperlink"/>
    <w:basedOn w:val="DefaultParagraphFont"/>
    <w:uiPriority w:val="99"/>
    <w:unhideWhenUsed/>
    <w:rsid w:val="00D16BEF"/>
    <w:rPr>
      <w:color w:val="0000FF" w:themeColor="hyperlink"/>
      <w:u w:val="single"/>
    </w:rPr>
  </w:style>
  <w:style w:type="paragraph" w:customStyle="1" w:styleId="Pa10">
    <w:name w:val="Pa10"/>
    <w:basedOn w:val="Normal"/>
    <w:next w:val="Normal"/>
    <w:uiPriority w:val="99"/>
    <w:rsid w:val="00F35386"/>
    <w:pPr>
      <w:autoSpaceDE w:val="0"/>
      <w:autoSpaceDN w:val="0"/>
      <w:adjustRightInd w:val="0"/>
      <w:spacing w:after="0" w:line="241" w:lineRule="atLeast"/>
    </w:pPr>
    <w:rPr>
      <w:rFonts w:ascii="Helvetica Neue" w:hAnsi="Helvetica Neue"/>
      <w:sz w:val="24"/>
      <w:szCs w:val="24"/>
    </w:rPr>
  </w:style>
  <w:style w:type="paragraph" w:customStyle="1" w:styleId="Pa5">
    <w:name w:val="Pa5"/>
    <w:basedOn w:val="Normal"/>
    <w:next w:val="Normal"/>
    <w:uiPriority w:val="99"/>
    <w:rsid w:val="00F35386"/>
    <w:pPr>
      <w:autoSpaceDE w:val="0"/>
      <w:autoSpaceDN w:val="0"/>
      <w:adjustRightInd w:val="0"/>
      <w:spacing w:after="0" w:line="241" w:lineRule="atLeast"/>
    </w:pPr>
    <w:rPr>
      <w:rFonts w:ascii="Helvetica Neue" w:hAnsi="Helvetica Neue"/>
      <w:sz w:val="24"/>
      <w:szCs w:val="24"/>
    </w:rPr>
  </w:style>
  <w:style w:type="character" w:styleId="FollowedHyperlink">
    <w:name w:val="FollowedHyperlink"/>
    <w:basedOn w:val="DefaultParagraphFont"/>
    <w:uiPriority w:val="99"/>
    <w:semiHidden/>
    <w:unhideWhenUsed/>
    <w:rsid w:val="00783BF6"/>
    <w:rPr>
      <w:color w:val="800080" w:themeColor="followedHyperlink"/>
      <w:u w:val="single"/>
    </w:rPr>
  </w:style>
  <w:style w:type="character" w:styleId="UnresolvedMention">
    <w:name w:val="Unresolved Mention"/>
    <w:basedOn w:val="DefaultParagraphFont"/>
    <w:uiPriority w:val="99"/>
    <w:semiHidden/>
    <w:unhideWhenUsed/>
    <w:rsid w:val="001C216D"/>
    <w:rPr>
      <w:color w:val="605E5C"/>
      <w:shd w:val="clear" w:color="auto" w:fill="E1DFDD"/>
    </w:rPr>
  </w:style>
  <w:style w:type="table" w:styleId="TableGridLight">
    <w:name w:val="Grid Table Light"/>
    <w:basedOn w:val="TableNormal"/>
    <w:uiPriority w:val="40"/>
    <w:rsid w:val="00C86B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81089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1089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1089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543663">
      <w:bodyDiv w:val="1"/>
      <w:marLeft w:val="0"/>
      <w:marRight w:val="0"/>
      <w:marTop w:val="0"/>
      <w:marBottom w:val="0"/>
      <w:divBdr>
        <w:top w:val="none" w:sz="0" w:space="0" w:color="auto"/>
        <w:left w:val="none" w:sz="0" w:space="0" w:color="auto"/>
        <w:bottom w:val="none" w:sz="0" w:space="0" w:color="auto"/>
        <w:right w:val="none" w:sz="0" w:space="0" w:color="auto"/>
      </w:divBdr>
    </w:div>
    <w:div w:id="578517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icestershire.gov.uk/leisure-and-community/community-safety/prevent" TargetMode="External"/><Relationship Id="rId3" Type="http://schemas.openxmlformats.org/officeDocument/2006/relationships/settings" Target="settings.xml"/><Relationship Id="rId7" Type="http://schemas.openxmlformats.org/officeDocument/2006/relationships/hyperlink" Target="http://lrsb.org.uk/prev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7</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Pickering</dc:creator>
  <cp:keywords/>
  <dc:description/>
  <cp:lastModifiedBy>Kay Aitken</cp:lastModifiedBy>
  <cp:revision>2</cp:revision>
  <dcterms:created xsi:type="dcterms:W3CDTF">2021-10-28T10:49:00Z</dcterms:created>
  <dcterms:modified xsi:type="dcterms:W3CDTF">2021-11-04T12:51:00Z</dcterms:modified>
</cp:coreProperties>
</file>