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59911" w14:textId="135ABAA4" w:rsidR="00185F16" w:rsidRPr="00D245B9" w:rsidRDefault="00F22C59">
      <w:pPr>
        <w:rPr>
          <w:rFonts w:ascii="Arial" w:hAnsi="Arial" w:cs="Arial"/>
          <w:b/>
          <w:bCs/>
        </w:rPr>
      </w:pPr>
      <w:r>
        <w:rPr>
          <w:rFonts w:ascii="Arial" w:hAnsi="Arial" w:cs="Arial"/>
          <w:b/>
          <w:bCs/>
        </w:rPr>
        <w:t xml:space="preserve">Harborough District Council </w:t>
      </w:r>
    </w:p>
    <w:p w14:paraId="514A8B61" w14:textId="3FCDCD9B" w:rsidR="00D245B9" w:rsidRPr="00D245B9" w:rsidRDefault="00D245B9">
      <w:pPr>
        <w:rPr>
          <w:rFonts w:ascii="Arial" w:hAnsi="Arial" w:cs="Arial"/>
          <w:b/>
          <w:bCs/>
        </w:rPr>
      </w:pPr>
      <w:r w:rsidRPr="00D245B9">
        <w:rPr>
          <w:rFonts w:ascii="Arial" w:hAnsi="Arial" w:cs="Arial"/>
          <w:b/>
          <w:bCs/>
        </w:rPr>
        <w:t>Damp and Mould Action Plan</w:t>
      </w:r>
    </w:p>
    <w:tbl>
      <w:tblPr>
        <w:tblStyle w:val="TableGrid"/>
        <w:tblW w:w="14596" w:type="dxa"/>
        <w:tblLook w:val="04A0" w:firstRow="1" w:lastRow="0" w:firstColumn="1" w:lastColumn="0" w:noHBand="0" w:noVBand="1"/>
      </w:tblPr>
      <w:tblGrid>
        <w:gridCol w:w="14596"/>
      </w:tblGrid>
      <w:tr w:rsidR="00D245B9" w:rsidRPr="00D245B9" w14:paraId="5246BEF7" w14:textId="77777777" w:rsidTr="00040718">
        <w:trPr>
          <w:trHeight w:val="2100"/>
        </w:trPr>
        <w:tc>
          <w:tcPr>
            <w:tcW w:w="14596" w:type="dxa"/>
          </w:tcPr>
          <w:p w14:paraId="1D8E470D" w14:textId="62822090" w:rsidR="00D245B9" w:rsidRPr="00D245B9" w:rsidRDefault="00D245B9" w:rsidP="00D245B9">
            <w:pPr>
              <w:rPr>
                <w:rFonts w:ascii="Arial" w:hAnsi="Arial" w:cs="Arial"/>
              </w:rPr>
            </w:pPr>
            <w:r w:rsidRPr="00D245B9">
              <w:rPr>
                <w:rFonts w:ascii="Arial" w:hAnsi="Arial" w:cs="Arial"/>
              </w:rPr>
              <w:t xml:space="preserve">Summary of action areas: </w:t>
            </w:r>
          </w:p>
          <w:p w14:paraId="35281A24" w14:textId="5E7FAB25" w:rsidR="00D245B9" w:rsidRPr="00D245B9" w:rsidRDefault="00D245B9" w:rsidP="00D245B9">
            <w:pPr>
              <w:rPr>
                <w:rFonts w:ascii="Arial" w:hAnsi="Arial" w:cs="Arial"/>
              </w:rPr>
            </w:pPr>
          </w:p>
          <w:p w14:paraId="62D5A300" w14:textId="62185ADB" w:rsidR="00D245B9" w:rsidRPr="00040718" w:rsidRDefault="00040718" w:rsidP="00040718">
            <w:pPr>
              <w:rPr>
                <w:rFonts w:ascii="Arial" w:hAnsi="Arial" w:cs="Arial"/>
                <w:b/>
                <w:bCs/>
              </w:rPr>
            </w:pPr>
            <w:bookmarkStart w:id="0" w:name="_Hlk121135916"/>
            <w:r w:rsidRPr="00040718">
              <w:rPr>
                <w:rFonts w:ascii="Arial" w:hAnsi="Arial" w:cs="Arial"/>
                <w:b/>
                <w:bCs/>
              </w:rPr>
              <w:t>P</w:t>
            </w:r>
            <w:r w:rsidR="00D245B9" w:rsidRPr="00040718">
              <w:rPr>
                <w:rFonts w:ascii="Arial" w:hAnsi="Arial" w:cs="Arial"/>
                <w:b/>
                <w:bCs/>
              </w:rPr>
              <w:t>roactive approach to raising tenant awareness of damp and mould, and the support available</w:t>
            </w:r>
          </w:p>
          <w:p w14:paraId="4BEA77EB" w14:textId="3B087DF9" w:rsidR="00D245B9" w:rsidRPr="00D245B9" w:rsidRDefault="00D245B9" w:rsidP="00D245B9">
            <w:pPr>
              <w:rPr>
                <w:rFonts w:ascii="Arial" w:hAnsi="Arial" w:cs="Arial"/>
              </w:rPr>
            </w:pPr>
          </w:p>
          <w:p w14:paraId="4FD59C49" w14:textId="7799B0D0" w:rsidR="00D245B9" w:rsidRPr="00040718" w:rsidRDefault="00040718" w:rsidP="00040718">
            <w:pPr>
              <w:rPr>
                <w:rFonts w:ascii="Arial" w:hAnsi="Arial" w:cs="Arial"/>
              </w:rPr>
            </w:pPr>
            <w:r w:rsidRPr="00040718">
              <w:rPr>
                <w:rFonts w:ascii="Arial" w:hAnsi="Arial" w:cs="Arial"/>
                <w:b/>
                <w:bCs/>
              </w:rPr>
              <w:t>P</w:t>
            </w:r>
            <w:r w:rsidR="00D245B9" w:rsidRPr="00040718">
              <w:rPr>
                <w:rFonts w:ascii="Arial" w:hAnsi="Arial" w:cs="Arial"/>
                <w:b/>
                <w:bCs/>
              </w:rPr>
              <w:t>roactive approach to raising landlord awareness of damp and mould, HHSRS / housing and health and associated responsibilities</w:t>
            </w:r>
            <w:r w:rsidR="00F22C59">
              <w:rPr>
                <w:rFonts w:ascii="Arial" w:hAnsi="Arial" w:cs="Arial"/>
                <w:b/>
                <w:bCs/>
              </w:rPr>
              <w:t xml:space="preserve"> and holding landlords to account</w:t>
            </w:r>
            <w:r w:rsidR="00F5046E">
              <w:rPr>
                <w:rFonts w:ascii="Arial" w:hAnsi="Arial" w:cs="Arial"/>
                <w:b/>
                <w:bCs/>
              </w:rPr>
              <w:t>.</w:t>
            </w:r>
            <w:r w:rsidR="00F22C59">
              <w:rPr>
                <w:rFonts w:ascii="Arial" w:hAnsi="Arial" w:cs="Arial"/>
                <w:b/>
                <w:bCs/>
              </w:rPr>
              <w:t xml:space="preserve"> </w:t>
            </w:r>
          </w:p>
          <w:p w14:paraId="4B67F6ED" w14:textId="13A1121A" w:rsidR="00D245B9" w:rsidRPr="00D245B9" w:rsidRDefault="00D245B9" w:rsidP="00D245B9">
            <w:pPr>
              <w:rPr>
                <w:rFonts w:ascii="Arial" w:hAnsi="Arial" w:cs="Arial"/>
              </w:rPr>
            </w:pPr>
          </w:p>
          <w:bookmarkEnd w:id="0"/>
          <w:p w14:paraId="2A09BA8F" w14:textId="1970359B" w:rsidR="00040718" w:rsidRPr="00D245B9" w:rsidRDefault="00040718" w:rsidP="00040718">
            <w:pPr>
              <w:rPr>
                <w:rFonts w:ascii="Arial" w:hAnsi="Arial" w:cs="Arial"/>
              </w:rPr>
            </w:pPr>
          </w:p>
        </w:tc>
      </w:tr>
    </w:tbl>
    <w:p w14:paraId="1FF1ADAC" w14:textId="5F136D9F" w:rsidR="00D245B9" w:rsidRDefault="00D245B9"/>
    <w:p w14:paraId="5B62C68E" w14:textId="77777777" w:rsidR="00D245B9" w:rsidRPr="00BF25A3" w:rsidRDefault="00D245B9" w:rsidP="00D245B9">
      <w:pPr>
        <w:rPr>
          <w:rFonts w:ascii="Arial" w:hAnsi="Arial" w:cs="Arial"/>
          <w:b/>
          <w:sz w:val="20"/>
          <w:szCs w:val="20"/>
          <w:u w:val="single"/>
        </w:rPr>
      </w:pPr>
      <w:r w:rsidRPr="00BF25A3">
        <w:rPr>
          <w:rFonts w:ascii="Arial" w:hAnsi="Arial" w:cs="Arial"/>
          <w:b/>
          <w:sz w:val="20"/>
          <w:szCs w:val="20"/>
          <w:u w:val="single"/>
        </w:rPr>
        <w:t xml:space="preserve">On track code / risk level </w:t>
      </w:r>
      <w:r w:rsidRPr="00BF25A3">
        <w:rPr>
          <w:rFonts w:ascii="Arial" w:hAnsi="Arial" w:cs="Arial"/>
          <w:b/>
          <w:sz w:val="20"/>
          <w:szCs w:val="20"/>
        </w:rPr>
        <w:t xml:space="preserve">                                                                      </w:t>
      </w:r>
    </w:p>
    <w:tbl>
      <w:tblPr>
        <w:tblStyle w:val="TableGrid"/>
        <w:tblpPr w:leftFromText="180" w:rightFromText="180" w:vertAnchor="text" w:tblpY="1"/>
        <w:tblOverlap w:val="never"/>
        <w:tblW w:w="14596" w:type="dxa"/>
        <w:tblLook w:val="04A0" w:firstRow="1" w:lastRow="0" w:firstColumn="1" w:lastColumn="0" w:noHBand="0" w:noVBand="1"/>
      </w:tblPr>
      <w:tblGrid>
        <w:gridCol w:w="1115"/>
        <w:gridCol w:w="13481"/>
      </w:tblGrid>
      <w:tr w:rsidR="00D245B9" w:rsidRPr="00BF25A3" w14:paraId="04E8E390" w14:textId="77777777" w:rsidTr="00040718">
        <w:trPr>
          <w:trHeight w:val="117"/>
        </w:trPr>
        <w:tc>
          <w:tcPr>
            <w:tcW w:w="1115" w:type="dxa"/>
            <w:shd w:val="clear" w:color="auto" w:fill="92D050"/>
          </w:tcPr>
          <w:p w14:paraId="776821DB" w14:textId="77777777" w:rsidR="00D245B9" w:rsidRPr="00BF25A3" w:rsidRDefault="00D245B9" w:rsidP="00E52E64">
            <w:pPr>
              <w:rPr>
                <w:rFonts w:ascii="Arial" w:hAnsi="Arial" w:cs="Arial"/>
                <w:b/>
                <w:u w:val="single"/>
              </w:rPr>
            </w:pPr>
          </w:p>
        </w:tc>
        <w:tc>
          <w:tcPr>
            <w:tcW w:w="13481" w:type="dxa"/>
          </w:tcPr>
          <w:p w14:paraId="70E7BA74" w14:textId="09835AEB" w:rsidR="00D245B9" w:rsidRPr="00BF25A3" w:rsidRDefault="00040718" w:rsidP="00E52E64">
            <w:pPr>
              <w:rPr>
                <w:rFonts w:ascii="Arial" w:hAnsi="Arial" w:cs="Arial"/>
                <w:b/>
                <w:u w:val="single"/>
              </w:rPr>
            </w:pPr>
            <w:r>
              <w:rPr>
                <w:rFonts w:ascii="Arial" w:hAnsi="Arial" w:cs="Arial"/>
              </w:rPr>
              <w:t>C</w:t>
            </w:r>
            <w:r w:rsidR="00D245B9" w:rsidRPr="00BF25A3">
              <w:rPr>
                <w:rFonts w:ascii="Arial" w:hAnsi="Arial" w:cs="Arial"/>
              </w:rPr>
              <w:t xml:space="preserve">ompleted </w:t>
            </w:r>
          </w:p>
        </w:tc>
      </w:tr>
      <w:tr w:rsidR="00D245B9" w:rsidRPr="00BF25A3" w14:paraId="7DA6FDF0" w14:textId="77777777" w:rsidTr="00040718">
        <w:trPr>
          <w:trHeight w:val="264"/>
        </w:trPr>
        <w:tc>
          <w:tcPr>
            <w:tcW w:w="1115" w:type="dxa"/>
            <w:shd w:val="clear" w:color="auto" w:fill="FFC000"/>
          </w:tcPr>
          <w:p w14:paraId="756EC2AE" w14:textId="77777777" w:rsidR="00D245B9" w:rsidRPr="00BF25A3" w:rsidRDefault="00D245B9" w:rsidP="00E52E64">
            <w:pPr>
              <w:rPr>
                <w:rFonts w:ascii="Arial" w:hAnsi="Arial" w:cs="Arial"/>
                <w:b/>
                <w:u w:val="single"/>
              </w:rPr>
            </w:pPr>
          </w:p>
        </w:tc>
        <w:tc>
          <w:tcPr>
            <w:tcW w:w="13481" w:type="dxa"/>
          </w:tcPr>
          <w:p w14:paraId="352F9655" w14:textId="77777777" w:rsidR="00D245B9" w:rsidRPr="00BF25A3" w:rsidRDefault="00D245B9" w:rsidP="00E52E64">
            <w:pPr>
              <w:rPr>
                <w:rFonts w:ascii="Arial" w:hAnsi="Arial" w:cs="Arial"/>
              </w:rPr>
            </w:pPr>
            <w:r w:rsidRPr="00BF25A3">
              <w:rPr>
                <w:rFonts w:ascii="Arial" w:hAnsi="Arial" w:cs="Arial"/>
              </w:rPr>
              <w:t xml:space="preserve">On track, in progress, some issues </w:t>
            </w:r>
          </w:p>
        </w:tc>
      </w:tr>
      <w:tr w:rsidR="00D245B9" w:rsidRPr="00BF25A3" w14:paraId="1BAEE54C" w14:textId="77777777" w:rsidTr="00040718">
        <w:trPr>
          <w:trHeight w:val="272"/>
        </w:trPr>
        <w:tc>
          <w:tcPr>
            <w:tcW w:w="1115" w:type="dxa"/>
            <w:shd w:val="clear" w:color="auto" w:fill="FF0000"/>
          </w:tcPr>
          <w:p w14:paraId="0A68CFD6" w14:textId="77777777" w:rsidR="00D245B9" w:rsidRPr="00BF25A3" w:rsidRDefault="00D245B9" w:rsidP="00E52E64">
            <w:pPr>
              <w:rPr>
                <w:rFonts w:ascii="Arial" w:hAnsi="Arial" w:cs="Arial"/>
                <w:b/>
                <w:u w:val="single"/>
              </w:rPr>
            </w:pPr>
          </w:p>
        </w:tc>
        <w:tc>
          <w:tcPr>
            <w:tcW w:w="13481" w:type="dxa"/>
          </w:tcPr>
          <w:p w14:paraId="71F9EABA" w14:textId="77777777" w:rsidR="00D245B9" w:rsidRPr="00BF25A3" w:rsidRDefault="00D245B9" w:rsidP="00E52E64">
            <w:pPr>
              <w:rPr>
                <w:rFonts w:ascii="Arial" w:hAnsi="Arial" w:cs="Arial"/>
              </w:rPr>
            </w:pPr>
            <w:r w:rsidRPr="00BF25A3">
              <w:rPr>
                <w:rFonts w:ascii="Arial" w:hAnsi="Arial" w:cs="Arial"/>
              </w:rPr>
              <w:t xml:space="preserve">Concerns about delivery/performance </w:t>
            </w:r>
          </w:p>
        </w:tc>
      </w:tr>
    </w:tbl>
    <w:p w14:paraId="07614B7A" w14:textId="19B91750" w:rsidR="00D245B9" w:rsidRDefault="00D245B9"/>
    <w:tbl>
      <w:tblPr>
        <w:tblStyle w:val="TableGrid"/>
        <w:tblW w:w="12333" w:type="dxa"/>
        <w:tblInd w:w="-5" w:type="dxa"/>
        <w:tblLook w:val="04A0" w:firstRow="1" w:lastRow="0" w:firstColumn="1" w:lastColumn="0" w:noHBand="0" w:noVBand="1"/>
      </w:tblPr>
      <w:tblGrid>
        <w:gridCol w:w="2886"/>
        <w:gridCol w:w="3554"/>
        <w:gridCol w:w="5089"/>
        <w:gridCol w:w="804"/>
      </w:tblGrid>
      <w:tr w:rsidR="00935EF1" w:rsidRPr="00BF25A3" w14:paraId="74102C1D" w14:textId="2032FAD0" w:rsidTr="00935EF1">
        <w:trPr>
          <w:trHeight w:val="704"/>
        </w:trPr>
        <w:tc>
          <w:tcPr>
            <w:tcW w:w="2977" w:type="dxa"/>
            <w:tcBorders>
              <w:bottom w:val="single" w:sz="4" w:space="0" w:color="auto"/>
            </w:tcBorders>
            <w:shd w:val="clear" w:color="auto" w:fill="D9D9D9" w:themeFill="background1" w:themeFillShade="D9"/>
          </w:tcPr>
          <w:p w14:paraId="6501A761" w14:textId="51E4F571" w:rsidR="00935EF1" w:rsidRPr="00BF25A3" w:rsidRDefault="00935EF1" w:rsidP="00E52E64">
            <w:pPr>
              <w:jc w:val="center"/>
              <w:rPr>
                <w:rFonts w:ascii="Arial" w:hAnsi="Arial" w:cs="Arial"/>
                <w:b/>
              </w:rPr>
            </w:pPr>
            <w:r>
              <w:rPr>
                <w:rFonts w:ascii="Arial" w:hAnsi="Arial" w:cs="Arial"/>
                <w:b/>
              </w:rPr>
              <w:t xml:space="preserve">Thematic Area </w:t>
            </w:r>
          </w:p>
        </w:tc>
        <w:tc>
          <w:tcPr>
            <w:tcW w:w="3686" w:type="dxa"/>
            <w:tcBorders>
              <w:bottom w:val="single" w:sz="4" w:space="0" w:color="auto"/>
            </w:tcBorders>
            <w:shd w:val="clear" w:color="auto" w:fill="D9D9D9" w:themeFill="background1" w:themeFillShade="D9"/>
          </w:tcPr>
          <w:p w14:paraId="675107B1" w14:textId="17564E2C" w:rsidR="00935EF1" w:rsidRPr="00BF25A3" w:rsidRDefault="00935EF1" w:rsidP="00E52E64">
            <w:pPr>
              <w:jc w:val="center"/>
              <w:rPr>
                <w:rFonts w:ascii="Arial" w:hAnsi="Arial" w:cs="Arial"/>
                <w:b/>
              </w:rPr>
            </w:pPr>
            <w:r w:rsidRPr="00BF25A3">
              <w:rPr>
                <w:rFonts w:ascii="Arial" w:hAnsi="Arial" w:cs="Arial"/>
                <w:b/>
              </w:rPr>
              <w:t>Action</w:t>
            </w:r>
          </w:p>
        </w:tc>
        <w:tc>
          <w:tcPr>
            <w:tcW w:w="5386" w:type="dxa"/>
            <w:tcBorders>
              <w:bottom w:val="single" w:sz="4" w:space="0" w:color="auto"/>
            </w:tcBorders>
            <w:shd w:val="clear" w:color="auto" w:fill="D9D9D9" w:themeFill="background1" w:themeFillShade="D9"/>
          </w:tcPr>
          <w:p w14:paraId="4D3136CD" w14:textId="49C51910" w:rsidR="00935EF1" w:rsidRPr="00BF25A3" w:rsidRDefault="00935EF1" w:rsidP="00E52E64">
            <w:pPr>
              <w:jc w:val="center"/>
              <w:rPr>
                <w:rFonts w:ascii="Arial" w:hAnsi="Arial" w:cs="Arial"/>
                <w:b/>
              </w:rPr>
            </w:pPr>
            <w:r w:rsidRPr="00BF25A3">
              <w:rPr>
                <w:rFonts w:ascii="Arial" w:hAnsi="Arial" w:cs="Arial"/>
                <w:b/>
              </w:rPr>
              <w:t>Update</w:t>
            </w:r>
          </w:p>
        </w:tc>
        <w:tc>
          <w:tcPr>
            <w:tcW w:w="284" w:type="dxa"/>
            <w:tcBorders>
              <w:bottom w:val="single" w:sz="4" w:space="0" w:color="auto"/>
            </w:tcBorders>
            <w:shd w:val="clear" w:color="auto" w:fill="D9D9D9" w:themeFill="background1" w:themeFillShade="D9"/>
          </w:tcPr>
          <w:p w14:paraId="5ECCB070" w14:textId="061C8A4C" w:rsidR="00935EF1" w:rsidRPr="00BF25A3" w:rsidRDefault="00935EF1" w:rsidP="00E52E64">
            <w:pPr>
              <w:jc w:val="center"/>
              <w:rPr>
                <w:rFonts w:ascii="Arial" w:hAnsi="Arial" w:cs="Arial"/>
                <w:b/>
              </w:rPr>
            </w:pPr>
            <w:r w:rsidRPr="00BF25A3">
              <w:rPr>
                <w:rFonts w:ascii="Arial" w:hAnsi="Arial" w:cs="Arial"/>
                <w:b/>
              </w:rPr>
              <w:t>On Track Code</w:t>
            </w:r>
          </w:p>
        </w:tc>
      </w:tr>
      <w:tr w:rsidR="00935EF1" w:rsidRPr="00BF25A3" w14:paraId="61ABC148" w14:textId="6D999F56" w:rsidTr="00935EF1">
        <w:trPr>
          <w:trHeight w:val="488"/>
        </w:trPr>
        <w:tc>
          <w:tcPr>
            <w:tcW w:w="2977" w:type="dxa"/>
            <w:shd w:val="clear" w:color="auto" w:fill="FFFFFF" w:themeFill="background1"/>
          </w:tcPr>
          <w:p w14:paraId="3D3765D4" w14:textId="77777777" w:rsidR="00935EF1" w:rsidRPr="00040718" w:rsidRDefault="00935EF1" w:rsidP="00040718">
            <w:pPr>
              <w:rPr>
                <w:rFonts w:ascii="Arial" w:hAnsi="Arial" w:cs="Arial"/>
              </w:rPr>
            </w:pPr>
            <w:r>
              <w:rPr>
                <w:rFonts w:ascii="Arial" w:hAnsi="Arial" w:cs="Arial"/>
                <w:b/>
                <w:bCs/>
              </w:rPr>
              <w:t>Responses to DLUHC and RSH</w:t>
            </w:r>
          </w:p>
          <w:p w14:paraId="13710596" w14:textId="525865DE" w:rsidR="00935EF1" w:rsidRPr="00040718" w:rsidRDefault="00935EF1" w:rsidP="00040718">
            <w:pPr>
              <w:rPr>
                <w:rFonts w:ascii="Arial" w:hAnsi="Arial" w:cs="Arial"/>
              </w:rPr>
            </w:pPr>
          </w:p>
        </w:tc>
        <w:tc>
          <w:tcPr>
            <w:tcW w:w="3686" w:type="dxa"/>
            <w:shd w:val="clear" w:color="auto" w:fill="FFFFFF" w:themeFill="background1"/>
          </w:tcPr>
          <w:p w14:paraId="71F0009D" w14:textId="670F53B3" w:rsidR="00935EF1" w:rsidRPr="00040718" w:rsidRDefault="00935EF1" w:rsidP="00E52E64">
            <w:pPr>
              <w:rPr>
                <w:rFonts w:ascii="Arial" w:hAnsi="Arial" w:cs="Arial"/>
                <w:bCs/>
              </w:rPr>
            </w:pPr>
            <w:r>
              <w:rPr>
                <w:rFonts w:ascii="Arial" w:hAnsi="Arial" w:cs="Arial"/>
                <w:bCs/>
              </w:rPr>
              <w:t>Initial response to DLUHC (Michael Gove letter)</w:t>
            </w:r>
          </w:p>
        </w:tc>
        <w:tc>
          <w:tcPr>
            <w:tcW w:w="5386" w:type="dxa"/>
            <w:shd w:val="clear" w:color="auto" w:fill="FFFFFF" w:themeFill="background1"/>
          </w:tcPr>
          <w:p w14:paraId="0D899BF4" w14:textId="1DF24512" w:rsidR="00935EF1" w:rsidRDefault="00935EF1" w:rsidP="00E52E64">
            <w:pPr>
              <w:jc w:val="center"/>
              <w:rPr>
                <w:rFonts w:ascii="Arial" w:hAnsi="Arial" w:cs="Arial"/>
                <w:bCs/>
              </w:rPr>
            </w:pPr>
          </w:p>
          <w:p w14:paraId="629B2091" w14:textId="704F2304" w:rsidR="00935EF1" w:rsidRDefault="00935EF1" w:rsidP="00E52E64">
            <w:pPr>
              <w:jc w:val="center"/>
              <w:rPr>
                <w:rFonts w:ascii="Arial" w:hAnsi="Arial" w:cs="Arial"/>
                <w:bCs/>
              </w:rPr>
            </w:pPr>
            <w:r>
              <w:rPr>
                <w:rFonts w:ascii="Arial" w:hAnsi="Arial" w:cs="Arial"/>
                <w:bCs/>
              </w:rPr>
              <w:t xml:space="preserve">Complete </w:t>
            </w:r>
          </w:p>
          <w:p w14:paraId="1E05DAE8" w14:textId="3BBEAE19" w:rsidR="00935EF1" w:rsidRPr="00011B1F" w:rsidRDefault="00935EF1" w:rsidP="00E52E64">
            <w:pPr>
              <w:jc w:val="center"/>
              <w:rPr>
                <w:rFonts w:ascii="Arial" w:hAnsi="Arial" w:cs="Arial"/>
                <w:bCs/>
              </w:rPr>
            </w:pPr>
          </w:p>
        </w:tc>
        <w:tc>
          <w:tcPr>
            <w:tcW w:w="284" w:type="dxa"/>
            <w:shd w:val="clear" w:color="auto" w:fill="92D050"/>
          </w:tcPr>
          <w:p w14:paraId="3982A09A" w14:textId="77777777" w:rsidR="00935EF1" w:rsidRPr="00BF25A3" w:rsidRDefault="00935EF1" w:rsidP="00E52E64">
            <w:pPr>
              <w:jc w:val="center"/>
              <w:rPr>
                <w:rFonts w:ascii="Arial" w:hAnsi="Arial" w:cs="Arial"/>
                <w:b/>
              </w:rPr>
            </w:pPr>
          </w:p>
        </w:tc>
      </w:tr>
      <w:tr w:rsidR="00935EF1" w:rsidRPr="00BF25A3" w14:paraId="7B8B9476" w14:textId="7CBF85E6" w:rsidTr="00935EF1">
        <w:trPr>
          <w:trHeight w:val="488"/>
        </w:trPr>
        <w:tc>
          <w:tcPr>
            <w:tcW w:w="2977" w:type="dxa"/>
            <w:shd w:val="clear" w:color="auto" w:fill="FFFFFF" w:themeFill="background1"/>
          </w:tcPr>
          <w:p w14:paraId="774D0E64" w14:textId="0DAB0B3F" w:rsidR="00935EF1" w:rsidRPr="00040718" w:rsidRDefault="00935EF1" w:rsidP="00040718">
            <w:pPr>
              <w:rPr>
                <w:rFonts w:ascii="Arial" w:hAnsi="Arial" w:cs="Arial"/>
                <w:b/>
                <w:bCs/>
              </w:rPr>
            </w:pPr>
            <w:r w:rsidRPr="00040718">
              <w:rPr>
                <w:rFonts w:ascii="Arial" w:hAnsi="Arial" w:cs="Arial"/>
                <w:b/>
                <w:bCs/>
              </w:rPr>
              <w:t>Proactive approach to raising tenant awareness of damp and mould, and the support available</w:t>
            </w:r>
            <w:r>
              <w:rPr>
                <w:rFonts w:ascii="Arial" w:hAnsi="Arial" w:cs="Arial"/>
                <w:b/>
                <w:bCs/>
              </w:rPr>
              <w:t xml:space="preserve"> </w:t>
            </w:r>
          </w:p>
          <w:p w14:paraId="25151DE3" w14:textId="77777777" w:rsidR="00935EF1" w:rsidRPr="00040718" w:rsidRDefault="00935EF1" w:rsidP="00040718">
            <w:pPr>
              <w:rPr>
                <w:rFonts w:ascii="Arial" w:hAnsi="Arial" w:cs="Arial"/>
                <w:b/>
              </w:rPr>
            </w:pPr>
          </w:p>
        </w:tc>
        <w:tc>
          <w:tcPr>
            <w:tcW w:w="3686" w:type="dxa"/>
            <w:shd w:val="clear" w:color="auto" w:fill="FFFFFF" w:themeFill="background1"/>
          </w:tcPr>
          <w:p w14:paraId="667E61F5" w14:textId="78E73824" w:rsidR="00935EF1" w:rsidRPr="00F02F8A" w:rsidRDefault="00935EF1" w:rsidP="00BE033A">
            <w:pPr>
              <w:jc w:val="both"/>
              <w:rPr>
                <w:rFonts w:ascii="Arial" w:hAnsi="Arial" w:cs="Arial"/>
                <w:bCs/>
              </w:rPr>
            </w:pPr>
            <w:r>
              <w:rPr>
                <w:rFonts w:ascii="Arial" w:hAnsi="Arial" w:cs="Arial"/>
                <w:bCs/>
              </w:rPr>
              <w:t>The Council will provide information on the w</w:t>
            </w:r>
            <w:r w:rsidRPr="00F02F8A">
              <w:rPr>
                <w:rFonts w:ascii="Arial" w:hAnsi="Arial" w:cs="Arial"/>
                <w:bCs/>
              </w:rPr>
              <w:t xml:space="preserve">ebsite </w:t>
            </w:r>
            <w:r>
              <w:rPr>
                <w:rFonts w:ascii="Arial" w:hAnsi="Arial" w:cs="Arial"/>
                <w:bCs/>
              </w:rPr>
              <w:t xml:space="preserve">to provide support to tenants and how to make a complaint about </w:t>
            </w:r>
            <w:r w:rsidR="00F5046E">
              <w:rPr>
                <w:rFonts w:ascii="Arial" w:hAnsi="Arial" w:cs="Arial"/>
                <w:bCs/>
              </w:rPr>
              <w:t>damp and mould.</w:t>
            </w:r>
          </w:p>
        </w:tc>
        <w:tc>
          <w:tcPr>
            <w:tcW w:w="5386" w:type="dxa"/>
            <w:shd w:val="clear" w:color="auto" w:fill="FFFFFF" w:themeFill="background1"/>
          </w:tcPr>
          <w:p w14:paraId="22F06626" w14:textId="16D564E4" w:rsidR="00935EF1" w:rsidRPr="00BE033A" w:rsidRDefault="00935EF1" w:rsidP="00BE033A">
            <w:pPr>
              <w:rPr>
                <w:rFonts w:ascii="Arial" w:hAnsi="Arial" w:cs="Arial"/>
              </w:rPr>
            </w:pPr>
            <w:r>
              <w:rPr>
                <w:rFonts w:ascii="Arial" w:hAnsi="Arial" w:cs="Arial"/>
              </w:rPr>
              <w:t xml:space="preserve"> </w:t>
            </w:r>
          </w:p>
        </w:tc>
        <w:tc>
          <w:tcPr>
            <w:tcW w:w="284" w:type="dxa"/>
            <w:shd w:val="clear" w:color="auto" w:fill="92D050"/>
          </w:tcPr>
          <w:p w14:paraId="5A80C130" w14:textId="77777777" w:rsidR="00935EF1" w:rsidRPr="00BF25A3" w:rsidRDefault="00935EF1" w:rsidP="00E52E64">
            <w:pPr>
              <w:jc w:val="center"/>
              <w:rPr>
                <w:rFonts w:ascii="Arial" w:hAnsi="Arial" w:cs="Arial"/>
                <w:b/>
              </w:rPr>
            </w:pPr>
          </w:p>
        </w:tc>
      </w:tr>
      <w:tr w:rsidR="00935EF1" w:rsidRPr="00BF25A3" w14:paraId="64526BB1" w14:textId="506ECA8B" w:rsidTr="00935EF1">
        <w:trPr>
          <w:trHeight w:val="488"/>
        </w:trPr>
        <w:tc>
          <w:tcPr>
            <w:tcW w:w="2977" w:type="dxa"/>
            <w:shd w:val="clear" w:color="auto" w:fill="FFFFFF" w:themeFill="background1"/>
          </w:tcPr>
          <w:p w14:paraId="03A5276F" w14:textId="01254779" w:rsidR="00935EF1" w:rsidRPr="00040718" w:rsidRDefault="00935EF1" w:rsidP="00040718">
            <w:pPr>
              <w:rPr>
                <w:rFonts w:ascii="Arial" w:hAnsi="Arial" w:cs="Arial"/>
              </w:rPr>
            </w:pPr>
            <w:r w:rsidRPr="00040718">
              <w:rPr>
                <w:rFonts w:ascii="Arial" w:hAnsi="Arial" w:cs="Arial"/>
                <w:b/>
                <w:bCs/>
              </w:rPr>
              <w:t xml:space="preserve">Proactive approach to raising landlord awareness of damp and mould, HHSRS / housing </w:t>
            </w:r>
            <w:r w:rsidRPr="00040718">
              <w:rPr>
                <w:rFonts w:ascii="Arial" w:hAnsi="Arial" w:cs="Arial"/>
                <w:b/>
                <w:bCs/>
              </w:rPr>
              <w:lastRenderedPageBreak/>
              <w:t>and health and associated responsibilities</w:t>
            </w:r>
          </w:p>
        </w:tc>
        <w:tc>
          <w:tcPr>
            <w:tcW w:w="3686" w:type="dxa"/>
            <w:shd w:val="clear" w:color="auto" w:fill="FFFFFF" w:themeFill="background1"/>
          </w:tcPr>
          <w:p w14:paraId="1AFC8466" w14:textId="169AE06B" w:rsidR="00935EF1" w:rsidRPr="007229B4" w:rsidRDefault="00935EF1" w:rsidP="0010115C">
            <w:pPr>
              <w:pStyle w:val="NoSpacing"/>
              <w:jc w:val="both"/>
              <w:rPr>
                <w:rFonts w:ascii="Arial" w:hAnsi="Arial" w:cs="Arial"/>
              </w:rPr>
            </w:pPr>
            <w:r>
              <w:rPr>
                <w:rFonts w:ascii="Arial" w:hAnsi="Arial" w:cs="Arial"/>
              </w:rPr>
              <w:lastRenderedPageBreak/>
              <w:t>T</w:t>
            </w:r>
            <w:r w:rsidRPr="007229B4">
              <w:rPr>
                <w:rFonts w:ascii="Arial" w:hAnsi="Arial" w:cs="Arial"/>
              </w:rPr>
              <w:t xml:space="preserve">he Council will also arrange and host a landlord forum </w:t>
            </w:r>
            <w:r>
              <w:rPr>
                <w:rFonts w:ascii="Arial" w:hAnsi="Arial" w:cs="Arial"/>
              </w:rPr>
              <w:t xml:space="preserve">in </w:t>
            </w:r>
            <w:r w:rsidRPr="007229B4">
              <w:rPr>
                <w:rFonts w:ascii="Arial" w:hAnsi="Arial" w:cs="Arial"/>
              </w:rPr>
              <w:t xml:space="preserve">2023. </w:t>
            </w:r>
            <w:r>
              <w:rPr>
                <w:rFonts w:ascii="Arial" w:hAnsi="Arial" w:cs="Arial"/>
              </w:rPr>
              <w:t xml:space="preserve">It is proposed that the Council will do this in partnership with a </w:t>
            </w:r>
            <w:r>
              <w:rPr>
                <w:rFonts w:ascii="Arial" w:hAnsi="Arial" w:cs="Arial"/>
              </w:rPr>
              <w:lastRenderedPageBreak/>
              <w:t xml:space="preserve">neighbouring authority. </w:t>
            </w:r>
            <w:r w:rsidRPr="007229B4">
              <w:rPr>
                <w:rFonts w:ascii="Arial" w:hAnsi="Arial" w:cs="Arial"/>
              </w:rPr>
              <w:t>This will include information, advice, and guidance on:</w:t>
            </w:r>
          </w:p>
          <w:p w14:paraId="647004F2" w14:textId="77777777" w:rsidR="00935EF1" w:rsidRDefault="00935EF1" w:rsidP="0010115C">
            <w:pPr>
              <w:pStyle w:val="NoSpacing"/>
              <w:ind w:left="720"/>
              <w:jc w:val="both"/>
              <w:rPr>
                <w:rFonts w:ascii="Arial" w:hAnsi="Arial" w:cs="Arial"/>
              </w:rPr>
            </w:pPr>
            <w:bookmarkStart w:id="1" w:name="_Hlk121136573"/>
          </w:p>
          <w:p w14:paraId="7D222359" w14:textId="687D1D2A" w:rsidR="00935EF1" w:rsidRDefault="00935EF1" w:rsidP="0010115C">
            <w:pPr>
              <w:pStyle w:val="NoSpacing"/>
              <w:numPr>
                <w:ilvl w:val="0"/>
                <w:numId w:val="4"/>
              </w:numPr>
              <w:jc w:val="both"/>
              <w:rPr>
                <w:rFonts w:ascii="Arial" w:hAnsi="Arial" w:cs="Arial"/>
              </w:rPr>
            </w:pPr>
            <w:r>
              <w:rPr>
                <w:rFonts w:ascii="Arial" w:hAnsi="Arial" w:cs="Arial"/>
              </w:rPr>
              <w:t xml:space="preserve">Damp and mould, and landlord responsibilities </w:t>
            </w:r>
          </w:p>
          <w:p w14:paraId="387AAFD6" w14:textId="52B4CCD0" w:rsidR="00935EF1" w:rsidRPr="006E1511" w:rsidRDefault="00935EF1" w:rsidP="001E4780">
            <w:pPr>
              <w:pStyle w:val="NoSpacing"/>
              <w:ind w:left="360"/>
              <w:jc w:val="both"/>
              <w:rPr>
                <w:rFonts w:ascii="Arial" w:hAnsi="Arial" w:cs="Arial"/>
              </w:rPr>
            </w:pPr>
            <w:r>
              <w:rPr>
                <w:rFonts w:ascii="Arial" w:hAnsi="Arial" w:cs="Arial"/>
              </w:rPr>
              <w:t xml:space="preserve"> </w:t>
            </w:r>
          </w:p>
          <w:p w14:paraId="55B886E6" w14:textId="22D4B9DD" w:rsidR="00935EF1" w:rsidRDefault="00935EF1" w:rsidP="0010115C">
            <w:pPr>
              <w:pStyle w:val="NoSpacing"/>
              <w:numPr>
                <w:ilvl w:val="0"/>
                <w:numId w:val="4"/>
              </w:numPr>
              <w:jc w:val="both"/>
              <w:rPr>
                <w:rFonts w:ascii="Arial" w:hAnsi="Arial" w:cs="Arial"/>
              </w:rPr>
            </w:pPr>
            <w:r>
              <w:rPr>
                <w:rFonts w:ascii="Arial" w:hAnsi="Arial" w:cs="Arial"/>
              </w:rPr>
              <w:t xml:space="preserve">Housing and Health / HHSRS, and landlord responsibilities </w:t>
            </w:r>
          </w:p>
          <w:p w14:paraId="6A4992E6" w14:textId="77777777" w:rsidR="00935EF1" w:rsidRPr="006E1511" w:rsidRDefault="00935EF1" w:rsidP="001E4780">
            <w:pPr>
              <w:pStyle w:val="NoSpacing"/>
              <w:jc w:val="both"/>
              <w:rPr>
                <w:rFonts w:ascii="Arial" w:hAnsi="Arial" w:cs="Arial"/>
              </w:rPr>
            </w:pPr>
          </w:p>
          <w:p w14:paraId="231BFD73" w14:textId="55EB1273" w:rsidR="00935EF1" w:rsidRDefault="00935EF1" w:rsidP="0010115C">
            <w:pPr>
              <w:pStyle w:val="NoSpacing"/>
              <w:numPr>
                <w:ilvl w:val="0"/>
                <w:numId w:val="4"/>
              </w:numPr>
              <w:jc w:val="both"/>
              <w:rPr>
                <w:rFonts w:ascii="Arial" w:hAnsi="Arial" w:cs="Arial"/>
              </w:rPr>
            </w:pPr>
            <w:r>
              <w:rPr>
                <w:rFonts w:ascii="Arial" w:hAnsi="Arial" w:cs="Arial"/>
              </w:rPr>
              <w:t xml:space="preserve">Cost of Living – information, support and referral pathways </w:t>
            </w:r>
          </w:p>
          <w:p w14:paraId="7BE150ED" w14:textId="77777777" w:rsidR="00935EF1" w:rsidRDefault="00935EF1" w:rsidP="001E4780">
            <w:pPr>
              <w:pStyle w:val="NoSpacing"/>
              <w:ind w:left="360"/>
              <w:jc w:val="both"/>
              <w:rPr>
                <w:rFonts w:ascii="Arial" w:hAnsi="Arial" w:cs="Arial"/>
              </w:rPr>
            </w:pPr>
          </w:p>
          <w:p w14:paraId="71E68EBC" w14:textId="362FA456" w:rsidR="00935EF1" w:rsidRPr="001E4780" w:rsidRDefault="00935EF1" w:rsidP="001E4780">
            <w:pPr>
              <w:pStyle w:val="NoSpacing"/>
              <w:numPr>
                <w:ilvl w:val="0"/>
                <w:numId w:val="4"/>
              </w:numPr>
              <w:jc w:val="both"/>
              <w:rPr>
                <w:rFonts w:ascii="Arial" w:hAnsi="Arial" w:cs="Arial"/>
              </w:rPr>
            </w:pPr>
            <w:r>
              <w:rPr>
                <w:rFonts w:ascii="Arial" w:hAnsi="Arial" w:cs="Arial"/>
              </w:rPr>
              <w:t xml:space="preserve">Grant schemes </w:t>
            </w:r>
            <w:bookmarkEnd w:id="1"/>
          </w:p>
        </w:tc>
        <w:tc>
          <w:tcPr>
            <w:tcW w:w="5386" w:type="dxa"/>
            <w:shd w:val="clear" w:color="auto" w:fill="FFFFFF" w:themeFill="background1"/>
          </w:tcPr>
          <w:p w14:paraId="1580CF0D" w14:textId="77777777" w:rsidR="00935EF1" w:rsidRDefault="00935EF1" w:rsidP="0010115C">
            <w:pPr>
              <w:rPr>
                <w:rFonts w:ascii="Arial" w:hAnsi="Arial" w:cs="Arial"/>
                <w:bCs/>
              </w:rPr>
            </w:pPr>
          </w:p>
          <w:p w14:paraId="4EB72D51" w14:textId="14339DC5" w:rsidR="00935EF1" w:rsidRPr="001E4780" w:rsidRDefault="00935EF1" w:rsidP="00BE7BB8">
            <w:pPr>
              <w:jc w:val="center"/>
              <w:rPr>
                <w:rFonts w:ascii="Arial" w:hAnsi="Arial" w:cs="Arial"/>
                <w:bCs/>
              </w:rPr>
            </w:pPr>
            <w:r>
              <w:rPr>
                <w:rFonts w:ascii="Arial" w:hAnsi="Arial" w:cs="Arial"/>
                <w:bCs/>
              </w:rPr>
              <w:t>Completed</w:t>
            </w:r>
          </w:p>
        </w:tc>
        <w:tc>
          <w:tcPr>
            <w:tcW w:w="284" w:type="dxa"/>
            <w:shd w:val="clear" w:color="auto" w:fill="92D050"/>
          </w:tcPr>
          <w:p w14:paraId="455D2670" w14:textId="77777777" w:rsidR="00935EF1" w:rsidRPr="00BF25A3" w:rsidRDefault="00935EF1" w:rsidP="00E52E64">
            <w:pPr>
              <w:jc w:val="center"/>
              <w:rPr>
                <w:rFonts w:ascii="Arial" w:hAnsi="Arial" w:cs="Arial"/>
                <w:b/>
              </w:rPr>
            </w:pPr>
          </w:p>
        </w:tc>
      </w:tr>
      <w:tr w:rsidR="00935EF1" w:rsidRPr="00BF25A3" w14:paraId="1579CBE3" w14:textId="032341D3" w:rsidTr="00935EF1">
        <w:trPr>
          <w:trHeight w:val="3795"/>
        </w:trPr>
        <w:tc>
          <w:tcPr>
            <w:tcW w:w="2977" w:type="dxa"/>
            <w:vMerge w:val="restart"/>
            <w:shd w:val="clear" w:color="auto" w:fill="FFFFFF" w:themeFill="background1"/>
          </w:tcPr>
          <w:p w14:paraId="4D350AD3" w14:textId="0846624A" w:rsidR="00935EF1" w:rsidRPr="00040718" w:rsidRDefault="00935EF1" w:rsidP="00040718">
            <w:pPr>
              <w:rPr>
                <w:rFonts w:ascii="Arial" w:hAnsi="Arial" w:cs="Arial"/>
              </w:rPr>
            </w:pPr>
            <w:r w:rsidRPr="00040718">
              <w:rPr>
                <w:rFonts w:ascii="Arial" w:hAnsi="Arial" w:cs="Arial"/>
                <w:b/>
                <w:bCs/>
              </w:rPr>
              <w:t xml:space="preserve">Operating transparently, and to be accountable </w:t>
            </w:r>
            <w:r>
              <w:rPr>
                <w:rFonts w:ascii="Arial" w:hAnsi="Arial" w:cs="Arial"/>
                <w:b/>
                <w:bCs/>
              </w:rPr>
              <w:t>holding</w:t>
            </w:r>
            <w:r w:rsidRPr="00040718">
              <w:rPr>
                <w:rFonts w:ascii="Arial" w:hAnsi="Arial" w:cs="Arial"/>
                <w:b/>
                <w:bCs/>
              </w:rPr>
              <w:t xml:space="preserve"> landlords to account</w:t>
            </w:r>
          </w:p>
          <w:p w14:paraId="23EF768D" w14:textId="77777777" w:rsidR="00935EF1" w:rsidRPr="00040718" w:rsidRDefault="00935EF1" w:rsidP="00040718">
            <w:pPr>
              <w:rPr>
                <w:rFonts w:ascii="Arial" w:hAnsi="Arial" w:cs="Arial"/>
                <w:b/>
                <w:bCs/>
              </w:rPr>
            </w:pPr>
          </w:p>
        </w:tc>
        <w:tc>
          <w:tcPr>
            <w:tcW w:w="3686" w:type="dxa"/>
            <w:shd w:val="clear" w:color="auto" w:fill="FFFFFF" w:themeFill="background1"/>
          </w:tcPr>
          <w:p w14:paraId="34A3D46B" w14:textId="4EA02809" w:rsidR="00935EF1" w:rsidRPr="001E4780" w:rsidRDefault="00935EF1" w:rsidP="00E52E64">
            <w:pPr>
              <w:rPr>
                <w:rFonts w:ascii="Arial" w:hAnsi="Arial" w:cs="Arial"/>
                <w:bCs/>
              </w:rPr>
            </w:pPr>
            <w:r w:rsidRPr="006C2716">
              <w:rPr>
                <w:rFonts w:ascii="Arial" w:hAnsi="Arial" w:cs="Arial"/>
              </w:rPr>
              <w:t>There are other Registered Providers who a</w:t>
            </w:r>
            <w:r w:rsidR="00F5046E">
              <w:rPr>
                <w:rFonts w:ascii="Arial" w:hAnsi="Arial" w:cs="Arial"/>
              </w:rPr>
              <w:t>re</w:t>
            </w:r>
            <w:r w:rsidRPr="006C2716">
              <w:rPr>
                <w:rFonts w:ascii="Arial" w:hAnsi="Arial" w:cs="Arial"/>
              </w:rPr>
              <w:t xml:space="preserve"> landlords in the Borough. Each of them will be required to respond to the Regulator of Social Housing on their assessment, approach and response. The Council will also seek assurance that the social housing being provided by other landlords is safe, and that the Council understand any actions or improvements required. </w:t>
            </w:r>
          </w:p>
        </w:tc>
        <w:tc>
          <w:tcPr>
            <w:tcW w:w="5386" w:type="dxa"/>
            <w:shd w:val="clear" w:color="auto" w:fill="FFFFFF" w:themeFill="background1"/>
          </w:tcPr>
          <w:p w14:paraId="4B4EF64D" w14:textId="49E7C8AE" w:rsidR="00935EF1" w:rsidRDefault="00935EF1" w:rsidP="00B417D8">
            <w:pPr>
              <w:rPr>
                <w:rFonts w:ascii="Arial" w:hAnsi="Arial" w:cs="Arial"/>
                <w:bCs/>
              </w:rPr>
            </w:pPr>
            <w:r>
              <w:rPr>
                <w:rFonts w:ascii="Arial" w:hAnsi="Arial" w:cs="Arial"/>
                <w:bCs/>
              </w:rPr>
              <w:t>Information received from registered providers on their approach to damp and mould in their properties</w:t>
            </w:r>
          </w:p>
          <w:p w14:paraId="0696AE6A" w14:textId="77777777" w:rsidR="00935EF1" w:rsidRDefault="00935EF1" w:rsidP="00B417D8">
            <w:pPr>
              <w:rPr>
                <w:rFonts w:ascii="Arial" w:hAnsi="Arial" w:cs="Arial"/>
                <w:bCs/>
              </w:rPr>
            </w:pPr>
          </w:p>
          <w:p w14:paraId="1FFEA320" w14:textId="77777777" w:rsidR="00935EF1" w:rsidRDefault="00935EF1" w:rsidP="00B417D8">
            <w:pPr>
              <w:rPr>
                <w:rFonts w:ascii="Arial" w:hAnsi="Arial" w:cs="Arial"/>
                <w:bCs/>
              </w:rPr>
            </w:pPr>
            <w:r>
              <w:rPr>
                <w:rFonts w:ascii="Arial" w:hAnsi="Arial" w:cs="Arial"/>
                <w:bCs/>
              </w:rPr>
              <w:t xml:space="preserve">On going regular engagement with local registered providers </w:t>
            </w:r>
          </w:p>
          <w:p w14:paraId="468A5296" w14:textId="77777777" w:rsidR="00935EF1" w:rsidRDefault="00935EF1" w:rsidP="00B417D8">
            <w:pPr>
              <w:rPr>
                <w:rFonts w:ascii="Arial" w:hAnsi="Arial" w:cs="Arial"/>
                <w:bCs/>
              </w:rPr>
            </w:pPr>
          </w:p>
          <w:p w14:paraId="3AA98C57" w14:textId="5CC27EB7" w:rsidR="00935EF1" w:rsidRPr="00011B1F" w:rsidRDefault="00935EF1" w:rsidP="00B417D8">
            <w:pPr>
              <w:rPr>
                <w:rFonts w:ascii="Arial" w:hAnsi="Arial" w:cs="Arial"/>
                <w:bCs/>
              </w:rPr>
            </w:pPr>
          </w:p>
        </w:tc>
        <w:tc>
          <w:tcPr>
            <w:tcW w:w="284" w:type="dxa"/>
            <w:shd w:val="clear" w:color="auto" w:fill="FFC000"/>
          </w:tcPr>
          <w:p w14:paraId="7AA0F113" w14:textId="77777777" w:rsidR="00935EF1" w:rsidRPr="00BF25A3" w:rsidRDefault="00935EF1" w:rsidP="00E52E64">
            <w:pPr>
              <w:jc w:val="center"/>
              <w:rPr>
                <w:rFonts w:ascii="Arial" w:hAnsi="Arial" w:cs="Arial"/>
                <w:b/>
              </w:rPr>
            </w:pPr>
          </w:p>
        </w:tc>
      </w:tr>
      <w:tr w:rsidR="00935EF1" w:rsidRPr="00BF25A3" w14:paraId="5FD64DA1" w14:textId="77777777" w:rsidTr="00935EF1">
        <w:trPr>
          <w:trHeight w:val="488"/>
        </w:trPr>
        <w:tc>
          <w:tcPr>
            <w:tcW w:w="2977" w:type="dxa"/>
            <w:vMerge/>
            <w:shd w:val="clear" w:color="auto" w:fill="FFFFFF" w:themeFill="background1"/>
          </w:tcPr>
          <w:p w14:paraId="705326F7" w14:textId="77777777" w:rsidR="00935EF1" w:rsidRPr="00040718" w:rsidRDefault="00935EF1" w:rsidP="00040718">
            <w:pPr>
              <w:rPr>
                <w:rFonts w:ascii="Arial" w:hAnsi="Arial" w:cs="Arial"/>
                <w:b/>
                <w:bCs/>
              </w:rPr>
            </w:pPr>
          </w:p>
        </w:tc>
        <w:tc>
          <w:tcPr>
            <w:tcW w:w="3686" w:type="dxa"/>
            <w:shd w:val="clear" w:color="auto" w:fill="FFFFFF" w:themeFill="background1"/>
          </w:tcPr>
          <w:p w14:paraId="410ACF89" w14:textId="5CC80AB2" w:rsidR="00935EF1" w:rsidRPr="006C2716" w:rsidRDefault="00935EF1" w:rsidP="00F02F8A">
            <w:pPr>
              <w:pStyle w:val="NoSpacing"/>
              <w:jc w:val="both"/>
              <w:rPr>
                <w:rFonts w:ascii="Arial" w:hAnsi="Arial" w:cs="Arial"/>
              </w:rPr>
            </w:pPr>
            <w:r w:rsidRPr="006C2716">
              <w:rPr>
                <w:rFonts w:ascii="Arial" w:hAnsi="Arial" w:cs="Arial"/>
              </w:rPr>
              <w:t xml:space="preserve">We have HHSRS trained practitioners in the Council </w:t>
            </w:r>
            <w:r>
              <w:rPr>
                <w:rFonts w:ascii="Arial" w:hAnsi="Arial" w:cs="Arial"/>
              </w:rPr>
              <w:t xml:space="preserve">in </w:t>
            </w:r>
            <w:r w:rsidR="00F5046E">
              <w:rPr>
                <w:rFonts w:ascii="Arial" w:hAnsi="Arial" w:cs="Arial"/>
              </w:rPr>
              <w:t xml:space="preserve">the </w:t>
            </w:r>
            <w:r w:rsidR="00F5046E" w:rsidRPr="006C2716">
              <w:rPr>
                <w:rFonts w:ascii="Arial" w:hAnsi="Arial" w:cs="Arial"/>
              </w:rPr>
              <w:t>environmental</w:t>
            </w:r>
            <w:r w:rsidRPr="006C2716">
              <w:rPr>
                <w:rFonts w:ascii="Arial" w:hAnsi="Arial" w:cs="Arial"/>
              </w:rPr>
              <w:t xml:space="preserve"> health team. </w:t>
            </w:r>
            <w:r>
              <w:rPr>
                <w:rFonts w:ascii="Arial" w:hAnsi="Arial" w:cs="Arial"/>
              </w:rPr>
              <w:t xml:space="preserve">We are committed to ensure officers remain competent and any new </w:t>
            </w:r>
            <w:r>
              <w:rPr>
                <w:rFonts w:ascii="Arial" w:hAnsi="Arial" w:cs="Arial"/>
              </w:rPr>
              <w:lastRenderedPageBreak/>
              <w:t xml:space="preserve">members of staff will receive the necessary training </w:t>
            </w:r>
          </w:p>
        </w:tc>
        <w:tc>
          <w:tcPr>
            <w:tcW w:w="5386" w:type="dxa"/>
            <w:shd w:val="clear" w:color="auto" w:fill="FFFFFF" w:themeFill="background1"/>
          </w:tcPr>
          <w:p w14:paraId="501F70AB" w14:textId="45B48B82" w:rsidR="00935EF1" w:rsidRPr="00A71DA8" w:rsidRDefault="00935EF1" w:rsidP="00A71DA8">
            <w:pPr>
              <w:rPr>
                <w:rFonts w:ascii="Arial" w:hAnsi="Arial" w:cs="Arial"/>
                <w:bCs/>
              </w:rPr>
            </w:pPr>
            <w:r>
              <w:rPr>
                <w:rFonts w:ascii="Arial" w:hAnsi="Arial" w:cs="Arial"/>
                <w:bCs/>
              </w:rPr>
              <w:lastRenderedPageBreak/>
              <w:t xml:space="preserve">On going – recruitment of experienced officers is a problem and the team are carrying a vacant post </w:t>
            </w:r>
          </w:p>
        </w:tc>
        <w:tc>
          <w:tcPr>
            <w:tcW w:w="284" w:type="dxa"/>
            <w:shd w:val="clear" w:color="auto" w:fill="FFC000"/>
          </w:tcPr>
          <w:p w14:paraId="61324036" w14:textId="77777777" w:rsidR="00935EF1" w:rsidRPr="00BF25A3" w:rsidRDefault="00935EF1" w:rsidP="00E52E64">
            <w:pPr>
              <w:jc w:val="center"/>
              <w:rPr>
                <w:rFonts w:ascii="Arial" w:hAnsi="Arial" w:cs="Arial"/>
                <w:b/>
              </w:rPr>
            </w:pPr>
          </w:p>
        </w:tc>
      </w:tr>
      <w:tr w:rsidR="00935EF1" w:rsidRPr="00BF25A3" w14:paraId="05FC8448" w14:textId="77777777" w:rsidTr="00935EF1">
        <w:trPr>
          <w:trHeight w:val="488"/>
        </w:trPr>
        <w:tc>
          <w:tcPr>
            <w:tcW w:w="2977" w:type="dxa"/>
            <w:shd w:val="clear" w:color="auto" w:fill="FFFFFF" w:themeFill="background1"/>
          </w:tcPr>
          <w:p w14:paraId="60614437" w14:textId="77777777" w:rsidR="00935EF1" w:rsidRDefault="00935EF1" w:rsidP="00040718">
            <w:pPr>
              <w:rPr>
                <w:rFonts w:ascii="Arial" w:hAnsi="Arial" w:cs="Arial"/>
                <w:b/>
                <w:bCs/>
              </w:rPr>
            </w:pPr>
            <w:r>
              <w:rPr>
                <w:rFonts w:ascii="Arial" w:hAnsi="Arial" w:cs="Arial"/>
                <w:b/>
                <w:bCs/>
              </w:rPr>
              <w:t xml:space="preserve">Energy Efficiency improvement work </w:t>
            </w:r>
          </w:p>
          <w:p w14:paraId="3C8369FA" w14:textId="7CB1F383" w:rsidR="00935EF1" w:rsidRPr="00040718" w:rsidRDefault="00935EF1" w:rsidP="00040718">
            <w:pPr>
              <w:rPr>
                <w:rFonts w:ascii="Arial" w:hAnsi="Arial" w:cs="Arial"/>
                <w:b/>
                <w:bCs/>
              </w:rPr>
            </w:pPr>
          </w:p>
        </w:tc>
        <w:tc>
          <w:tcPr>
            <w:tcW w:w="3686" w:type="dxa"/>
            <w:shd w:val="clear" w:color="auto" w:fill="FFFFFF" w:themeFill="background1"/>
          </w:tcPr>
          <w:p w14:paraId="188575D0" w14:textId="7F360459" w:rsidR="00935EF1" w:rsidRPr="006C2716" w:rsidRDefault="00935EF1" w:rsidP="00A71DA8">
            <w:pPr>
              <w:pStyle w:val="NoSpacing"/>
              <w:jc w:val="both"/>
              <w:rPr>
                <w:rFonts w:ascii="Arial" w:hAnsi="Arial" w:cs="Arial"/>
              </w:rPr>
            </w:pPr>
            <w:r>
              <w:rPr>
                <w:rFonts w:ascii="Arial" w:hAnsi="Arial" w:cs="Arial"/>
              </w:rPr>
              <w:t xml:space="preserve">Support the delivery of funding available to improve the energy efficiency in rented accommodation </w:t>
            </w:r>
          </w:p>
        </w:tc>
        <w:tc>
          <w:tcPr>
            <w:tcW w:w="5386" w:type="dxa"/>
            <w:shd w:val="clear" w:color="auto" w:fill="FFFFFF" w:themeFill="background1"/>
          </w:tcPr>
          <w:p w14:paraId="7CB562E1" w14:textId="667439DC" w:rsidR="00935EF1" w:rsidRDefault="00935EF1" w:rsidP="00A71DA8">
            <w:pPr>
              <w:rPr>
                <w:rFonts w:ascii="Arial" w:hAnsi="Arial" w:cs="Arial"/>
                <w:bCs/>
              </w:rPr>
            </w:pPr>
            <w:r w:rsidRPr="00121F61">
              <w:rPr>
                <w:rFonts w:ascii="Arial" w:hAnsi="Arial" w:cs="Arial"/>
                <w:bCs/>
              </w:rPr>
              <w:t>Harborough District Council received an allocation of £440,000 for energy efficiency measures via Midlands Net Zero Hub for the Local Authority Demonstration Scheme</w:t>
            </w:r>
            <w:r w:rsidR="00F5046E">
              <w:rPr>
                <w:rFonts w:ascii="Arial" w:hAnsi="Arial" w:cs="Arial"/>
                <w:bCs/>
              </w:rPr>
              <w:t xml:space="preserve"> </w:t>
            </w:r>
            <w:r w:rsidRPr="00121F61">
              <w:rPr>
                <w:rFonts w:ascii="Arial" w:hAnsi="Arial" w:cs="Arial"/>
                <w:bCs/>
              </w:rPr>
              <w:t>(LAD2). We worked in partnership with Platform Housing Group to deliver measures to 76 ex council stock. This work completed in Summer 2022. In total £385,400 was spent on the measures.</w:t>
            </w:r>
          </w:p>
          <w:p w14:paraId="5B372662" w14:textId="77777777" w:rsidR="00935EF1" w:rsidRDefault="00935EF1" w:rsidP="00A71DA8">
            <w:pPr>
              <w:rPr>
                <w:rFonts w:ascii="Arial" w:hAnsi="Arial" w:cs="Arial"/>
                <w:bCs/>
              </w:rPr>
            </w:pPr>
          </w:p>
          <w:p w14:paraId="5B9C0E57" w14:textId="24C377ED" w:rsidR="00935EF1" w:rsidRDefault="00935EF1" w:rsidP="00A71DA8">
            <w:pPr>
              <w:rPr>
                <w:rFonts w:ascii="Arial" w:hAnsi="Arial" w:cs="Arial"/>
                <w:bCs/>
              </w:rPr>
            </w:pPr>
            <w:r>
              <w:rPr>
                <w:rFonts w:ascii="Arial" w:hAnsi="Arial" w:cs="Arial"/>
                <w:bCs/>
              </w:rPr>
              <w:t>Continuing the delivery of LAD and HUG funding to improve energy efficiency and through the Lightbulb delivery a top up Green Grant is available to eligible households</w:t>
            </w:r>
            <w:r w:rsidR="00F5046E">
              <w:rPr>
                <w:rFonts w:ascii="Arial" w:hAnsi="Arial" w:cs="Arial"/>
                <w:bCs/>
              </w:rPr>
              <w:t>.</w:t>
            </w:r>
            <w:r>
              <w:rPr>
                <w:rFonts w:ascii="Arial" w:hAnsi="Arial" w:cs="Arial"/>
                <w:bCs/>
              </w:rPr>
              <w:t xml:space="preserve"> </w:t>
            </w:r>
          </w:p>
          <w:p w14:paraId="61ACB53B" w14:textId="77777777" w:rsidR="00935EF1" w:rsidRDefault="00935EF1" w:rsidP="00A71DA8">
            <w:pPr>
              <w:rPr>
                <w:rFonts w:ascii="Arial" w:hAnsi="Arial" w:cs="Arial"/>
                <w:bCs/>
              </w:rPr>
            </w:pPr>
          </w:p>
          <w:p w14:paraId="01983050" w14:textId="741EDE03" w:rsidR="00935EF1" w:rsidRPr="00A71DA8" w:rsidRDefault="00935EF1" w:rsidP="00A71DA8">
            <w:pPr>
              <w:rPr>
                <w:rFonts w:ascii="Arial" w:hAnsi="Arial" w:cs="Arial"/>
                <w:bCs/>
              </w:rPr>
            </w:pPr>
            <w:r w:rsidRPr="00121F61">
              <w:rPr>
                <w:rFonts w:ascii="Arial" w:hAnsi="Arial" w:cs="Arial"/>
                <w:bCs/>
              </w:rPr>
              <w:t>Green Living Leicestershire Partnership has worked together to develop Statement on Flexible Eligibility</w:t>
            </w:r>
            <w:r>
              <w:rPr>
                <w:rFonts w:ascii="Arial" w:hAnsi="Arial" w:cs="Arial"/>
                <w:bCs/>
              </w:rPr>
              <w:t xml:space="preserve"> for the ECO scheme</w:t>
            </w:r>
            <w:r w:rsidRPr="00121F61">
              <w:rPr>
                <w:rFonts w:ascii="Arial" w:hAnsi="Arial" w:cs="Arial"/>
                <w:bCs/>
              </w:rPr>
              <w:t>, but this was held up waiting for guidance from OFGEM. The statement is now signed and will be published shortly, once delivery mechanism is in place.</w:t>
            </w:r>
          </w:p>
        </w:tc>
        <w:tc>
          <w:tcPr>
            <w:tcW w:w="284" w:type="dxa"/>
            <w:shd w:val="clear" w:color="auto" w:fill="92D050"/>
          </w:tcPr>
          <w:p w14:paraId="46820B69" w14:textId="77777777" w:rsidR="00935EF1" w:rsidRPr="00BF25A3" w:rsidRDefault="00935EF1" w:rsidP="00E52E64">
            <w:pPr>
              <w:jc w:val="center"/>
              <w:rPr>
                <w:rFonts w:ascii="Arial" w:hAnsi="Arial" w:cs="Arial"/>
                <w:b/>
              </w:rPr>
            </w:pPr>
          </w:p>
        </w:tc>
      </w:tr>
      <w:tr w:rsidR="00935EF1" w:rsidRPr="00BF25A3" w14:paraId="32442675" w14:textId="77777777" w:rsidTr="00935EF1">
        <w:trPr>
          <w:trHeight w:val="488"/>
        </w:trPr>
        <w:tc>
          <w:tcPr>
            <w:tcW w:w="2977" w:type="dxa"/>
            <w:shd w:val="clear" w:color="auto" w:fill="FFFFFF" w:themeFill="background1"/>
          </w:tcPr>
          <w:p w14:paraId="5EA38583" w14:textId="305247BC" w:rsidR="00935EF1" w:rsidRPr="00173263" w:rsidRDefault="00935EF1" w:rsidP="00040718">
            <w:pPr>
              <w:rPr>
                <w:rFonts w:ascii="Arial" w:hAnsi="Arial" w:cs="Arial"/>
                <w:b/>
                <w:bCs/>
              </w:rPr>
            </w:pPr>
            <w:r w:rsidRPr="00173263">
              <w:rPr>
                <w:rFonts w:ascii="Arial" w:hAnsi="Arial" w:cs="Arial"/>
                <w:b/>
                <w:bCs/>
              </w:rPr>
              <w:t xml:space="preserve">Effective Enforcement </w:t>
            </w:r>
          </w:p>
        </w:tc>
        <w:tc>
          <w:tcPr>
            <w:tcW w:w="3686" w:type="dxa"/>
            <w:shd w:val="clear" w:color="auto" w:fill="FFFFFF" w:themeFill="background1"/>
          </w:tcPr>
          <w:p w14:paraId="4245EA53" w14:textId="19AE7BD3" w:rsidR="00935EF1" w:rsidRDefault="00935EF1" w:rsidP="00A417D1">
            <w:pPr>
              <w:pStyle w:val="NoSpacing"/>
              <w:jc w:val="both"/>
              <w:rPr>
                <w:rFonts w:ascii="Arial" w:hAnsi="Arial" w:cs="Arial"/>
              </w:rPr>
            </w:pPr>
            <w:r>
              <w:rPr>
                <w:rFonts w:ascii="Arial" w:hAnsi="Arial" w:cs="Arial"/>
              </w:rPr>
              <w:t xml:space="preserve">Adoption and Publication of Private Sector Housing Enforcement Policy and Civil Penalties </w:t>
            </w:r>
          </w:p>
        </w:tc>
        <w:tc>
          <w:tcPr>
            <w:tcW w:w="5386" w:type="dxa"/>
            <w:shd w:val="clear" w:color="auto" w:fill="FFFFFF" w:themeFill="background1"/>
          </w:tcPr>
          <w:p w14:paraId="73DB2AA6" w14:textId="5ED99887" w:rsidR="00935EF1" w:rsidRPr="00011B1F" w:rsidRDefault="00935EF1" w:rsidP="00A417D1">
            <w:pPr>
              <w:rPr>
                <w:rFonts w:ascii="Arial" w:hAnsi="Arial" w:cs="Arial"/>
                <w:bCs/>
              </w:rPr>
            </w:pPr>
            <w:r>
              <w:rPr>
                <w:rFonts w:ascii="Arial" w:hAnsi="Arial" w:cs="Arial"/>
                <w:bCs/>
              </w:rPr>
              <w:t xml:space="preserve">Policies adopted and available on the website </w:t>
            </w:r>
          </w:p>
        </w:tc>
        <w:tc>
          <w:tcPr>
            <w:tcW w:w="284" w:type="dxa"/>
            <w:shd w:val="clear" w:color="auto" w:fill="92D050"/>
          </w:tcPr>
          <w:p w14:paraId="3A0022CF" w14:textId="77777777" w:rsidR="00935EF1" w:rsidRPr="00BF25A3" w:rsidRDefault="00935EF1" w:rsidP="00E52E64">
            <w:pPr>
              <w:jc w:val="center"/>
              <w:rPr>
                <w:rFonts w:ascii="Arial" w:hAnsi="Arial" w:cs="Arial"/>
                <w:b/>
              </w:rPr>
            </w:pPr>
          </w:p>
        </w:tc>
      </w:tr>
    </w:tbl>
    <w:p w14:paraId="6FCAFAB4" w14:textId="77777777" w:rsidR="00D245B9" w:rsidRDefault="00D245B9"/>
    <w:sectPr w:rsidR="00D245B9" w:rsidSect="00D245B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09D5"/>
    <w:multiLevelType w:val="hybridMultilevel"/>
    <w:tmpl w:val="CC4E8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F2C2F"/>
    <w:multiLevelType w:val="hybridMultilevel"/>
    <w:tmpl w:val="70D2C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30C8F"/>
    <w:multiLevelType w:val="hybridMultilevel"/>
    <w:tmpl w:val="045A64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AEC75AF"/>
    <w:multiLevelType w:val="hybridMultilevel"/>
    <w:tmpl w:val="FB466BA4"/>
    <w:lvl w:ilvl="0" w:tplc="0809000F">
      <w:start w:val="1"/>
      <w:numFmt w:val="decimal"/>
      <w:lvlText w:val="%1."/>
      <w:lvlJc w:val="left"/>
      <w:pPr>
        <w:ind w:left="360" w:hanging="360"/>
      </w:pPr>
      <w:rPr>
        <w:rFonts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EE206CB"/>
    <w:multiLevelType w:val="hybridMultilevel"/>
    <w:tmpl w:val="5B9CC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D82C4D"/>
    <w:multiLevelType w:val="hybridMultilevel"/>
    <w:tmpl w:val="348C5A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02538178">
    <w:abstractNumId w:val="4"/>
  </w:num>
  <w:num w:numId="2" w16cid:durableId="419110380">
    <w:abstractNumId w:val="1"/>
  </w:num>
  <w:num w:numId="3" w16cid:durableId="580140183">
    <w:abstractNumId w:val="0"/>
  </w:num>
  <w:num w:numId="4" w16cid:durableId="400173658">
    <w:abstractNumId w:val="3"/>
  </w:num>
  <w:num w:numId="5" w16cid:durableId="86122704">
    <w:abstractNumId w:val="2"/>
  </w:num>
  <w:num w:numId="6" w16cid:durableId="2067214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5B9"/>
    <w:rsid w:val="00011B1F"/>
    <w:rsid w:val="00040718"/>
    <w:rsid w:val="000F0265"/>
    <w:rsid w:val="0010115C"/>
    <w:rsid w:val="00121F61"/>
    <w:rsid w:val="0017002A"/>
    <w:rsid w:val="00173263"/>
    <w:rsid w:val="00185F16"/>
    <w:rsid w:val="001A631C"/>
    <w:rsid w:val="001E4780"/>
    <w:rsid w:val="001F4682"/>
    <w:rsid w:val="00201B1E"/>
    <w:rsid w:val="002B59DF"/>
    <w:rsid w:val="00382D49"/>
    <w:rsid w:val="0046214F"/>
    <w:rsid w:val="004C3A79"/>
    <w:rsid w:val="00935EF1"/>
    <w:rsid w:val="00A417D1"/>
    <w:rsid w:val="00A5192B"/>
    <w:rsid w:val="00A71DA8"/>
    <w:rsid w:val="00B417D8"/>
    <w:rsid w:val="00BE033A"/>
    <w:rsid w:val="00BE7BB8"/>
    <w:rsid w:val="00C62E27"/>
    <w:rsid w:val="00D245B9"/>
    <w:rsid w:val="00E552DF"/>
    <w:rsid w:val="00F02F8A"/>
    <w:rsid w:val="00F22C59"/>
    <w:rsid w:val="00F5046E"/>
    <w:rsid w:val="00F91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25F3A"/>
  <w15:chartTrackingRefBased/>
  <w15:docId w15:val="{F4C73D42-4004-48FA-887A-8287617B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3A79"/>
    <w:pPr>
      <w:keepNext/>
      <w:keepLines/>
      <w:spacing w:before="240" w:after="0"/>
      <w:outlineLvl w:val="0"/>
    </w:pPr>
    <w:rPr>
      <w:rFonts w:ascii="Arial" w:eastAsiaTheme="majorEastAsia" w:hAnsi="Arial" w:cstheme="majorBidi"/>
      <w:b/>
      <w:color w:val="739C36"/>
      <w:sz w:val="32"/>
      <w:szCs w:val="32"/>
    </w:rPr>
  </w:style>
  <w:style w:type="paragraph" w:styleId="Heading2">
    <w:name w:val="heading 2"/>
    <w:basedOn w:val="Normal"/>
    <w:next w:val="Normal"/>
    <w:link w:val="Heading2Char"/>
    <w:uiPriority w:val="9"/>
    <w:unhideWhenUsed/>
    <w:qFormat/>
    <w:rsid w:val="004C3A79"/>
    <w:pPr>
      <w:keepNext/>
      <w:keepLines/>
      <w:spacing w:before="40" w:after="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uiPriority w:val="9"/>
    <w:unhideWhenUsed/>
    <w:qFormat/>
    <w:rsid w:val="004C3A79"/>
    <w:pPr>
      <w:keepNext/>
      <w:keepLines/>
      <w:spacing w:before="40" w:after="0"/>
      <w:outlineLvl w:val="2"/>
    </w:pPr>
    <w:rPr>
      <w:rFonts w:ascii="Arial" w:eastAsiaTheme="majorEastAsia" w:hAnsi="Arial" w:cstheme="majorBidi"/>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3A79"/>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4C3A79"/>
    <w:rPr>
      <w:rFonts w:ascii="Arial" w:eastAsiaTheme="majorEastAsia" w:hAnsi="Arial" w:cstheme="majorBidi"/>
      <w:b/>
      <w:sz w:val="26"/>
      <w:szCs w:val="24"/>
    </w:rPr>
  </w:style>
  <w:style w:type="character" w:customStyle="1" w:styleId="Heading1Char">
    <w:name w:val="Heading 1 Char"/>
    <w:basedOn w:val="DefaultParagraphFont"/>
    <w:link w:val="Heading1"/>
    <w:uiPriority w:val="9"/>
    <w:rsid w:val="004C3A79"/>
    <w:rPr>
      <w:rFonts w:ascii="Arial" w:eastAsiaTheme="majorEastAsia" w:hAnsi="Arial" w:cstheme="majorBidi"/>
      <w:b/>
      <w:color w:val="739C36"/>
      <w:sz w:val="32"/>
      <w:szCs w:val="32"/>
    </w:rPr>
  </w:style>
  <w:style w:type="paragraph" w:styleId="Title">
    <w:name w:val="Title"/>
    <w:basedOn w:val="Normal"/>
    <w:next w:val="Normal"/>
    <w:link w:val="TitleChar"/>
    <w:uiPriority w:val="10"/>
    <w:qFormat/>
    <w:rsid w:val="004C3A79"/>
    <w:pPr>
      <w:spacing w:after="0" w:line="240" w:lineRule="auto"/>
      <w:contextualSpacing/>
    </w:pPr>
    <w:rPr>
      <w:rFonts w:ascii="Arial" w:eastAsiaTheme="majorEastAsia" w:hAnsi="Arial" w:cstheme="majorBidi"/>
      <w:color w:val="739C36"/>
      <w:spacing w:val="-10"/>
      <w:kern w:val="28"/>
      <w:sz w:val="72"/>
      <w:szCs w:val="56"/>
    </w:rPr>
  </w:style>
  <w:style w:type="character" w:customStyle="1" w:styleId="TitleChar">
    <w:name w:val="Title Char"/>
    <w:basedOn w:val="DefaultParagraphFont"/>
    <w:link w:val="Title"/>
    <w:uiPriority w:val="10"/>
    <w:rsid w:val="004C3A79"/>
    <w:rPr>
      <w:rFonts w:ascii="Arial" w:eastAsiaTheme="majorEastAsia" w:hAnsi="Arial" w:cstheme="majorBidi"/>
      <w:color w:val="739C36"/>
      <w:spacing w:val="-10"/>
      <w:kern w:val="28"/>
      <w:sz w:val="72"/>
      <w:szCs w:val="56"/>
    </w:rPr>
  </w:style>
  <w:style w:type="table" w:styleId="TableGrid">
    <w:name w:val="Table Grid"/>
    <w:basedOn w:val="TableNormal"/>
    <w:uiPriority w:val="99"/>
    <w:rsid w:val="00D24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45B9"/>
    <w:pPr>
      <w:ind w:left="720"/>
      <w:contextualSpacing/>
    </w:pPr>
  </w:style>
  <w:style w:type="paragraph" w:styleId="NoSpacing">
    <w:name w:val="No Spacing"/>
    <w:uiPriority w:val="1"/>
    <w:qFormat/>
    <w:rsid w:val="0010115C"/>
    <w:pPr>
      <w:spacing w:after="0" w:line="240" w:lineRule="auto"/>
    </w:pPr>
  </w:style>
  <w:style w:type="character" w:styleId="Hyperlink">
    <w:name w:val="Hyperlink"/>
    <w:basedOn w:val="DefaultParagraphFont"/>
    <w:uiPriority w:val="99"/>
    <w:unhideWhenUsed/>
    <w:rsid w:val="00011B1F"/>
    <w:rPr>
      <w:color w:val="0563C1" w:themeColor="hyperlink"/>
      <w:u w:val="single"/>
    </w:rPr>
  </w:style>
  <w:style w:type="character" w:styleId="UnresolvedMention">
    <w:name w:val="Unresolved Mention"/>
    <w:basedOn w:val="DefaultParagraphFont"/>
    <w:uiPriority w:val="99"/>
    <w:semiHidden/>
    <w:unhideWhenUsed/>
    <w:rsid w:val="00011B1F"/>
    <w:rPr>
      <w:color w:val="605E5C"/>
      <w:shd w:val="clear" w:color="auto" w:fill="E1DFDD"/>
    </w:rPr>
  </w:style>
  <w:style w:type="paragraph" w:styleId="Revision">
    <w:name w:val="Revision"/>
    <w:hidden/>
    <w:uiPriority w:val="99"/>
    <w:semiHidden/>
    <w:rsid w:val="00F504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Howard</dc:creator>
  <cp:keywords/>
  <dc:description/>
  <cp:lastModifiedBy>Thomas Jones</cp:lastModifiedBy>
  <cp:revision>3</cp:revision>
  <dcterms:created xsi:type="dcterms:W3CDTF">2023-09-11T13:20:00Z</dcterms:created>
  <dcterms:modified xsi:type="dcterms:W3CDTF">2023-09-19T09:35:00Z</dcterms:modified>
</cp:coreProperties>
</file>